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256990">
      <w:pPr>
        <w:jc w:val="center"/>
        <w:rPr>
          <w:rFonts w:ascii="宋体"/>
          <w:b/>
          <w:bCs/>
          <w:sz w:val="36"/>
          <w:szCs w:val="32"/>
        </w:rPr>
      </w:pPr>
      <w:bookmarkStart w:id="0" w:name="_GoBack"/>
      <w:r>
        <w:rPr>
          <w:rFonts w:hint="eastAsia" w:ascii="宋体"/>
          <w:b/>
          <w:bCs/>
          <w:sz w:val="36"/>
          <w:szCs w:val="32"/>
        </w:rPr>
        <w:t>信息与通信工程学院</w:t>
      </w:r>
    </w:p>
    <w:p w14:paraId="341AFE1D">
      <w:pPr>
        <w:jc w:val="center"/>
        <w:rPr>
          <w:rFonts w:ascii="宋体"/>
          <w:b/>
          <w:bCs/>
          <w:sz w:val="36"/>
          <w:szCs w:val="32"/>
        </w:rPr>
      </w:pPr>
      <w:r>
        <w:rPr>
          <w:rFonts w:hint="eastAsia" w:ascii="宋体"/>
          <w:b/>
          <w:bCs/>
          <w:sz w:val="36"/>
          <w:szCs w:val="32"/>
        </w:rPr>
        <w:t>关于</w:t>
      </w:r>
      <w:r>
        <w:rPr>
          <w:rFonts w:ascii="宋体"/>
          <w:b/>
          <w:bCs/>
          <w:sz w:val="36"/>
          <w:szCs w:val="32"/>
        </w:rPr>
        <w:t>推荐优秀应届本科毕业</w:t>
      </w:r>
      <w:r>
        <w:rPr>
          <w:rFonts w:hint="eastAsia" w:ascii="宋体"/>
          <w:b/>
          <w:bCs/>
          <w:sz w:val="36"/>
          <w:szCs w:val="32"/>
        </w:rPr>
        <w:t>学生干部</w:t>
      </w:r>
    </w:p>
    <w:p w14:paraId="539B1763">
      <w:pPr>
        <w:jc w:val="center"/>
        <w:rPr>
          <w:rFonts w:ascii="宋体"/>
          <w:b/>
          <w:bCs/>
          <w:sz w:val="36"/>
          <w:szCs w:val="32"/>
        </w:rPr>
      </w:pPr>
      <w:r>
        <w:rPr>
          <w:rFonts w:hint="eastAsia" w:ascii="宋体"/>
          <w:b/>
          <w:bCs/>
          <w:sz w:val="36"/>
          <w:szCs w:val="32"/>
        </w:rPr>
        <w:t>免试攻读研究生</w:t>
      </w:r>
      <w:r>
        <w:rPr>
          <w:rFonts w:ascii="宋体"/>
          <w:b/>
          <w:bCs/>
          <w:sz w:val="36"/>
          <w:szCs w:val="32"/>
        </w:rPr>
        <w:t>遴</w:t>
      </w:r>
      <w:r>
        <w:rPr>
          <w:rFonts w:hint="eastAsia" w:ascii="宋体"/>
          <w:b/>
          <w:bCs/>
          <w:sz w:val="36"/>
          <w:szCs w:val="32"/>
        </w:rPr>
        <w:t>选工作实施细则</w:t>
      </w:r>
    </w:p>
    <w:p w14:paraId="46EB7A8A">
      <w:pPr>
        <w:spacing w:line="600" w:lineRule="exact"/>
        <w:jc w:val="center"/>
        <w:rPr>
          <w:rFonts w:ascii="宋体"/>
          <w:b/>
          <w:bCs/>
          <w:sz w:val="28"/>
        </w:rPr>
      </w:pPr>
      <w:r>
        <w:rPr>
          <w:rFonts w:hint="eastAsia" w:ascii="宋体"/>
          <w:b/>
          <w:bCs/>
          <w:sz w:val="28"/>
        </w:rPr>
        <w:t>（2025年修订版）</w:t>
      </w:r>
    </w:p>
    <w:bookmarkEnd w:id="0"/>
    <w:p w14:paraId="15539422">
      <w:pPr>
        <w:widowControl/>
        <w:spacing w:line="560" w:lineRule="exact"/>
        <w:ind w:firstLine="640" w:firstLineChars="200"/>
        <w:rPr>
          <w:rFonts w:ascii="仿宋" w:hAnsi="仿宋" w:eastAsia="仿宋" w:cs="宋体"/>
          <w:color w:val="333333"/>
          <w:kern w:val="0"/>
          <w:sz w:val="32"/>
          <w:szCs w:val="32"/>
        </w:rPr>
      </w:pPr>
      <w:r>
        <w:rPr>
          <w:rFonts w:hint="eastAsia" w:ascii="仿宋" w:hAnsi="仿宋" w:eastAsia="仿宋" w:cs="宋体"/>
          <w:color w:val="333333"/>
          <w:kern w:val="0"/>
          <w:sz w:val="32"/>
          <w:szCs w:val="32"/>
        </w:rPr>
        <w:t>根据《北京信息科技大学推荐优秀应届本科毕业学生干部免试攻读研究生遴选办法》（校学发[2025]84号）文件精神,结合我院实际情况，特制定本细则。</w:t>
      </w:r>
    </w:p>
    <w:p w14:paraId="51E2F37C">
      <w:pPr>
        <w:widowControl/>
        <w:shd w:val="clear" w:color="auto" w:fill="FFFFFF"/>
        <w:spacing w:line="555" w:lineRule="atLeast"/>
        <w:jc w:val="center"/>
        <w:rPr>
          <w:rFonts w:ascii="黑体" w:hAnsi="黑体" w:eastAsia="黑体" w:cs="宋体"/>
          <w:color w:val="333333"/>
          <w:kern w:val="0"/>
          <w:sz w:val="32"/>
          <w:szCs w:val="32"/>
        </w:rPr>
      </w:pPr>
      <w:r>
        <w:rPr>
          <w:rFonts w:hint="eastAsia" w:ascii="黑体" w:hAnsi="黑体" w:eastAsia="黑体" w:cs="宋体"/>
          <w:color w:val="333333"/>
          <w:kern w:val="0"/>
          <w:sz w:val="32"/>
          <w:szCs w:val="32"/>
        </w:rPr>
        <w:t>第一章</w:t>
      </w:r>
      <w:r>
        <w:rPr>
          <w:rFonts w:hint="eastAsia" w:ascii="宋体" w:hAnsi="宋体" w:eastAsia="黑体" w:cs="宋体"/>
          <w:color w:val="333333"/>
          <w:kern w:val="0"/>
          <w:sz w:val="32"/>
          <w:szCs w:val="32"/>
        </w:rPr>
        <w:t xml:space="preserve">  </w:t>
      </w:r>
      <w:r>
        <w:rPr>
          <w:rFonts w:hint="eastAsia" w:ascii="黑体" w:hAnsi="黑体" w:eastAsia="黑体" w:cs="宋体"/>
          <w:color w:val="333333"/>
          <w:kern w:val="0"/>
          <w:sz w:val="32"/>
          <w:szCs w:val="32"/>
        </w:rPr>
        <w:t>总则</w:t>
      </w:r>
    </w:p>
    <w:p w14:paraId="65C39086">
      <w:pPr>
        <w:widowControl/>
        <w:spacing w:line="560" w:lineRule="exact"/>
        <w:ind w:firstLine="640" w:firstLineChars="200"/>
        <w:rPr>
          <w:rFonts w:ascii="仿宋" w:hAnsi="仿宋" w:eastAsia="仿宋" w:cs="宋体"/>
          <w:color w:val="333333"/>
          <w:kern w:val="0"/>
          <w:sz w:val="32"/>
          <w:szCs w:val="32"/>
        </w:rPr>
      </w:pPr>
      <w:r>
        <w:rPr>
          <w:rFonts w:hint="eastAsia" w:ascii="仿宋" w:hAnsi="仿宋" w:eastAsia="仿宋" w:cs="宋体"/>
          <w:color w:val="333333"/>
          <w:kern w:val="0"/>
          <w:sz w:val="32"/>
          <w:szCs w:val="32"/>
        </w:rPr>
        <w:t>第一条</w:t>
      </w:r>
      <w:r>
        <w:rPr>
          <w:rFonts w:ascii="仿宋" w:hAnsi="仿宋" w:eastAsia="仿宋" w:cs="宋体"/>
          <w:color w:val="333333"/>
          <w:kern w:val="0"/>
          <w:sz w:val="32"/>
          <w:szCs w:val="32"/>
        </w:rPr>
        <w:t xml:space="preserve">  </w:t>
      </w:r>
      <w:r>
        <w:rPr>
          <w:rFonts w:hint="eastAsia" w:ascii="仿宋" w:hAnsi="仿宋" w:eastAsia="仿宋" w:cs="宋体"/>
          <w:color w:val="333333"/>
          <w:kern w:val="0"/>
          <w:sz w:val="32"/>
          <w:szCs w:val="32"/>
        </w:rPr>
        <w:t>推荐优秀应届本科毕业学生干部免试攻读研究生（保留研究生入学资格两年，在此期间专职从事辅导员工作）是提高人才培养质量的重要举措，也是促进和激励在校本科生勤奋学习、勇于创新、全面发展的有效机制。</w:t>
      </w:r>
    </w:p>
    <w:p w14:paraId="7DD0A647">
      <w:pPr>
        <w:widowControl/>
        <w:spacing w:line="560" w:lineRule="exact"/>
        <w:ind w:firstLine="640" w:firstLineChars="200"/>
        <w:rPr>
          <w:rFonts w:ascii="仿宋" w:hAnsi="仿宋" w:eastAsia="仿宋" w:cs="宋体"/>
          <w:color w:val="333333"/>
          <w:kern w:val="0"/>
          <w:sz w:val="32"/>
          <w:szCs w:val="32"/>
        </w:rPr>
      </w:pPr>
      <w:r>
        <w:rPr>
          <w:rFonts w:hint="eastAsia" w:ascii="仿宋" w:hAnsi="仿宋" w:eastAsia="仿宋" w:cs="宋体"/>
          <w:color w:val="333333"/>
          <w:kern w:val="0"/>
          <w:sz w:val="32"/>
          <w:szCs w:val="32"/>
        </w:rPr>
        <w:t>第二条</w:t>
      </w:r>
      <w:r>
        <w:rPr>
          <w:rFonts w:ascii="仿宋" w:hAnsi="仿宋" w:eastAsia="仿宋" w:cs="宋体"/>
          <w:color w:val="333333"/>
          <w:kern w:val="0"/>
          <w:sz w:val="32"/>
          <w:szCs w:val="32"/>
        </w:rPr>
        <w:t xml:space="preserve">  </w:t>
      </w:r>
      <w:r>
        <w:rPr>
          <w:rFonts w:hint="eastAsia" w:ascii="仿宋" w:hAnsi="仿宋" w:eastAsia="仿宋" w:cs="宋体"/>
          <w:color w:val="333333"/>
          <w:kern w:val="0"/>
          <w:sz w:val="32"/>
          <w:szCs w:val="32"/>
        </w:rPr>
        <w:t>推免工作坚持公开、公平、公正的原则，实行全面衡量、综合评价、择优推荐。</w:t>
      </w:r>
    </w:p>
    <w:p w14:paraId="65134BA9">
      <w:pPr>
        <w:widowControl/>
        <w:shd w:val="clear" w:color="auto" w:fill="FFFFFF"/>
        <w:spacing w:line="555" w:lineRule="atLeast"/>
        <w:jc w:val="center"/>
        <w:rPr>
          <w:rFonts w:ascii="黑体" w:hAnsi="黑体" w:eastAsia="黑体" w:cs="宋体"/>
          <w:color w:val="333333"/>
          <w:kern w:val="0"/>
          <w:sz w:val="32"/>
          <w:szCs w:val="32"/>
        </w:rPr>
      </w:pPr>
      <w:r>
        <w:rPr>
          <w:rFonts w:hint="eastAsia" w:ascii="黑体" w:hAnsi="黑体" w:eastAsia="黑体" w:cs="宋体"/>
          <w:color w:val="333333"/>
          <w:kern w:val="0"/>
          <w:sz w:val="32"/>
          <w:szCs w:val="32"/>
        </w:rPr>
        <w:t>第二章  组织领导</w:t>
      </w:r>
    </w:p>
    <w:p w14:paraId="21A0207D">
      <w:pPr>
        <w:widowControl/>
        <w:spacing w:line="560" w:lineRule="exact"/>
        <w:ind w:firstLine="640" w:firstLineChars="200"/>
        <w:rPr>
          <w:rFonts w:ascii="仿宋" w:hAnsi="仿宋" w:eastAsia="仿宋" w:cs="宋体"/>
          <w:color w:val="333333"/>
          <w:kern w:val="0"/>
          <w:sz w:val="32"/>
          <w:szCs w:val="32"/>
        </w:rPr>
      </w:pPr>
      <w:r>
        <w:rPr>
          <w:rFonts w:hint="eastAsia" w:ascii="仿宋" w:hAnsi="仿宋" w:eastAsia="仿宋" w:cs="宋体"/>
          <w:color w:val="333333"/>
          <w:kern w:val="0"/>
          <w:sz w:val="32"/>
          <w:szCs w:val="32"/>
        </w:rPr>
        <w:t>第三条</w:t>
      </w:r>
      <w:r>
        <w:rPr>
          <w:rFonts w:ascii="仿宋" w:hAnsi="仿宋" w:eastAsia="仿宋" w:cs="宋体"/>
          <w:color w:val="333333"/>
          <w:kern w:val="0"/>
          <w:sz w:val="32"/>
          <w:szCs w:val="32"/>
        </w:rPr>
        <w:t xml:space="preserve">  </w:t>
      </w:r>
      <w:r>
        <w:rPr>
          <w:rFonts w:hint="eastAsia" w:ascii="仿宋" w:hAnsi="仿宋" w:eastAsia="仿宋" w:cs="宋体"/>
          <w:color w:val="333333"/>
          <w:kern w:val="0"/>
          <w:sz w:val="32"/>
          <w:szCs w:val="32"/>
        </w:rPr>
        <w:t>学院成立推荐优秀应届本科毕业学生干部免试攻读研究生遴选工作领导小组（以下简称遴选工作小组），由分管学生工作的副书记任组长，由分管本科教学工作的副院长、有关专业负责人、具有高级职称的教师代表、学生工作辅导员代表等不少于5人组成的遴选工作领导小组，制定本学院遴选工作实施细则，负责本学院遴选条件审查、遴选推荐等工作。遴选工作小组组成情况及遴选工作实施细则，须经学院党政联席会议讨论通过后报学工部备案。</w:t>
      </w:r>
    </w:p>
    <w:p w14:paraId="39ED5969">
      <w:pPr>
        <w:widowControl/>
        <w:spacing w:line="560" w:lineRule="exact"/>
        <w:ind w:firstLine="640" w:firstLineChars="200"/>
        <w:rPr>
          <w:rFonts w:ascii="仿宋" w:hAnsi="仿宋" w:eastAsia="仿宋" w:cs="宋体"/>
          <w:color w:val="333333"/>
          <w:kern w:val="0"/>
          <w:sz w:val="30"/>
          <w:szCs w:val="30"/>
        </w:rPr>
      </w:pPr>
      <w:r>
        <w:rPr>
          <w:rFonts w:hint="eastAsia" w:ascii="仿宋" w:hAnsi="仿宋" w:eastAsia="仿宋" w:cs="宋体"/>
          <w:color w:val="333333"/>
          <w:kern w:val="0"/>
          <w:sz w:val="32"/>
          <w:szCs w:val="32"/>
        </w:rPr>
        <w:t>第四条</w:t>
      </w:r>
      <w:r>
        <w:rPr>
          <w:rFonts w:ascii="仿宋" w:hAnsi="仿宋" w:eastAsia="仿宋" w:cs="宋体"/>
          <w:color w:val="333333"/>
          <w:kern w:val="0"/>
          <w:sz w:val="32"/>
          <w:szCs w:val="32"/>
        </w:rPr>
        <w:t xml:space="preserve">  </w:t>
      </w:r>
      <w:r>
        <w:rPr>
          <w:rFonts w:hint="eastAsia" w:ascii="仿宋" w:hAnsi="仿宋" w:eastAsia="仿宋" w:cs="宋体"/>
          <w:color w:val="333333"/>
          <w:kern w:val="0"/>
          <w:sz w:val="32"/>
          <w:szCs w:val="32"/>
        </w:rPr>
        <w:t>学院设立推免工作申诉办公室，办公室设在学院学生工作办公室，受理相关申诉事宜。</w:t>
      </w:r>
    </w:p>
    <w:p w14:paraId="0277709F">
      <w:pPr>
        <w:widowControl/>
        <w:shd w:val="clear" w:color="auto" w:fill="FFFFFF"/>
        <w:spacing w:line="555" w:lineRule="atLeast"/>
        <w:jc w:val="center"/>
        <w:rPr>
          <w:rFonts w:ascii="黑体" w:hAnsi="黑体" w:eastAsia="黑体" w:cs="宋体"/>
          <w:color w:val="333333"/>
          <w:kern w:val="0"/>
          <w:sz w:val="32"/>
          <w:szCs w:val="32"/>
        </w:rPr>
      </w:pPr>
      <w:r>
        <w:rPr>
          <w:rFonts w:hint="eastAsia" w:ascii="黑体" w:hAnsi="黑体" w:eastAsia="黑体" w:cs="宋体"/>
          <w:color w:val="333333"/>
          <w:kern w:val="0"/>
          <w:sz w:val="32"/>
          <w:szCs w:val="32"/>
        </w:rPr>
        <w:t>第三章  遴选条件</w:t>
      </w:r>
    </w:p>
    <w:p w14:paraId="7D3350DD">
      <w:pPr>
        <w:widowControl/>
        <w:spacing w:line="560" w:lineRule="exact"/>
        <w:ind w:firstLine="640" w:firstLineChars="200"/>
        <w:rPr>
          <w:rFonts w:ascii="仿宋" w:hAnsi="仿宋" w:eastAsia="仿宋" w:cs="宋体"/>
          <w:color w:val="333333"/>
          <w:kern w:val="0"/>
          <w:sz w:val="32"/>
          <w:szCs w:val="32"/>
        </w:rPr>
      </w:pPr>
      <w:r>
        <w:rPr>
          <w:rFonts w:hint="eastAsia" w:ascii="仿宋" w:hAnsi="仿宋" w:eastAsia="仿宋" w:cs="宋体"/>
          <w:color w:val="333333"/>
          <w:kern w:val="0"/>
          <w:sz w:val="32"/>
          <w:szCs w:val="32"/>
        </w:rPr>
        <w:t>第五条</w:t>
      </w:r>
      <w:r>
        <w:rPr>
          <w:rFonts w:ascii="仿宋" w:hAnsi="仿宋" w:eastAsia="仿宋" w:cs="宋体"/>
          <w:color w:val="333333"/>
          <w:kern w:val="0"/>
          <w:sz w:val="32"/>
          <w:szCs w:val="32"/>
        </w:rPr>
        <w:t xml:space="preserve">  </w:t>
      </w:r>
      <w:r>
        <w:rPr>
          <w:rFonts w:hint="eastAsia" w:ascii="仿宋" w:hAnsi="仿宋" w:eastAsia="仿宋" w:cs="宋体"/>
          <w:color w:val="333333"/>
          <w:kern w:val="0"/>
          <w:sz w:val="32"/>
          <w:szCs w:val="32"/>
        </w:rPr>
        <w:t>推荐优秀应届本科毕业学生干部免试攻读研究生遴选对象仅限于本院全日制普通本科应届毕业生（不含专升本、第二学士学位学生），定向委托培养的学生必须经过原定向地区教育主管部门或委托培养单位的批准。</w:t>
      </w:r>
    </w:p>
    <w:p w14:paraId="7E08EEDB">
      <w:pPr>
        <w:widowControl/>
        <w:spacing w:line="560" w:lineRule="exact"/>
        <w:ind w:firstLine="640" w:firstLineChars="200"/>
        <w:rPr>
          <w:rFonts w:ascii="仿宋" w:hAnsi="仿宋" w:eastAsia="仿宋" w:cs="宋体"/>
          <w:color w:val="333333"/>
          <w:kern w:val="0"/>
          <w:sz w:val="32"/>
          <w:szCs w:val="32"/>
        </w:rPr>
      </w:pPr>
      <w:r>
        <w:rPr>
          <w:rFonts w:hint="eastAsia" w:ascii="仿宋" w:hAnsi="仿宋" w:eastAsia="仿宋" w:cs="宋体"/>
          <w:color w:val="333333"/>
          <w:kern w:val="0"/>
          <w:sz w:val="32"/>
          <w:szCs w:val="32"/>
        </w:rPr>
        <w:t>第六条</w:t>
      </w:r>
      <w:r>
        <w:rPr>
          <w:rFonts w:ascii="仿宋" w:hAnsi="仿宋" w:eastAsia="仿宋" w:cs="宋体"/>
          <w:color w:val="333333"/>
          <w:kern w:val="0"/>
          <w:sz w:val="32"/>
          <w:szCs w:val="32"/>
        </w:rPr>
        <w:t xml:space="preserve">  </w:t>
      </w:r>
      <w:r>
        <w:rPr>
          <w:rFonts w:hint="eastAsia" w:ascii="仿宋" w:hAnsi="仿宋" w:eastAsia="仿宋" w:cs="宋体"/>
          <w:color w:val="333333"/>
          <w:kern w:val="0"/>
          <w:sz w:val="32"/>
          <w:szCs w:val="32"/>
        </w:rPr>
        <w:t>推免学生应具备以下基本条件：</w:t>
      </w:r>
    </w:p>
    <w:p w14:paraId="70DA1561">
      <w:pPr>
        <w:widowControl/>
        <w:spacing w:line="560" w:lineRule="exact"/>
        <w:ind w:firstLine="640" w:firstLineChars="200"/>
        <w:rPr>
          <w:rFonts w:ascii="仿宋" w:hAnsi="仿宋" w:eastAsia="仿宋" w:cs="宋体"/>
          <w:color w:val="333333"/>
          <w:kern w:val="0"/>
          <w:sz w:val="32"/>
          <w:szCs w:val="32"/>
        </w:rPr>
      </w:pPr>
      <w:r>
        <w:rPr>
          <w:rFonts w:hint="eastAsia" w:ascii="仿宋" w:hAnsi="仿宋" w:eastAsia="仿宋" w:cs="宋体"/>
          <w:color w:val="333333"/>
          <w:kern w:val="0"/>
          <w:sz w:val="32"/>
          <w:szCs w:val="32"/>
        </w:rPr>
        <w:t xml:space="preserve">（一）中共正式党员或预备党员, 具有坚定正确的政治方向，高尚的爱国主义情操和集体主义精神，社会责任感强，遵纪守法，积极向上，身心健康。 </w:t>
      </w:r>
    </w:p>
    <w:p w14:paraId="159EE56B">
      <w:pPr>
        <w:widowControl/>
        <w:spacing w:line="560" w:lineRule="exact"/>
        <w:ind w:firstLine="640" w:firstLineChars="200"/>
        <w:rPr>
          <w:rFonts w:ascii="仿宋" w:hAnsi="仿宋" w:eastAsia="仿宋" w:cs="宋体"/>
          <w:color w:val="333333"/>
          <w:kern w:val="0"/>
          <w:sz w:val="32"/>
          <w:szCs w:val="32"/>
        </w:rPr>
      </w:pPr>
      <w:r>
        <w:rPr>
          <w:rFonts w:hint="eastAsia" w:ascii="仿宋" w:hAnsi="仿宋" w:eastAsia="仿宋" w:cs="宋体"/>
          <w:color w:val="333333"/>
          <w:kern w:val="0"/>
          <w:sz w:val="32"/>
          <w:szCs w:val="32"/>
        </w:rPr>
        <w:t xml:space="preserve">（二）具有主要学生干部一年以上工作经历,且任职期间工作表现突出。获得过校级及以上荣誉称号的优先考虑。 </w:t>
      </w:r>
    </w:p>
    <w:p w14:paraId="45EBC5CA">
      <w:pPr>
        <w:widowControl/>
        <w:spacing w:line="560" w:lineRule="exact"/>
        <w:ind w:firstLine="640" w:firstLineChars="200"/>
        <w:rPr>
          <w:rFonts w:ascii="仿宋" w:hAnsi="仿宋" w:eastAsia="仿宋" w:cs="宋体"/>
          <w:color w:val="333333"/>
          <w:kern w:val="0"/>
          <w:sz w:val="32"/>
          <w:szCs w:val="32"/>
        </w:rPr>
      </w:pPr>
      <w:r>
        <w:rPr>
          <w:rFonts w:hint="eastAsia" w:ascii="仿宋" w:hAnsi="仿宋" w:eastAsia="仿宋" w:cs="宋体"/>
          <w:color w:val="333333"/>
          <w:kern w:val="0"/>
          <w:sz w:val="32"/>
          <w:szCs w:val="32"/>
        </w:rPr>
        <w:t>（三）勤奋学习，刻苦钻研，成绩优秀，已经取得的学分满足所学专业培养方案正常学制规定的要求，必修课成绩合格且不得有因不及格出现的补考或重修记录。</w:t>
      </w:r>
    </w:p>
    <w:p w14:paraId="69EAD284">
      <w:pPr>
        <w:widowControl/>
        <w:spacing w:line="560" w:lineRule="exact"/>
        <w:ind w:firstLine="640" w:firstLineChars="200"/>
        <w:rPr>
          <w:rFonts w:ascii="仿宋" w:hAnsi="仿宋" w:eastAsia="仿宋" w:cs="宋体"/>
          <w:color w:val="333333"/>
          <w:kern w:val="0"/>
          <w:sz w:val="32"/>
          <w:szCs w:val="32"/>
        </w:rPr>
      </w:pPr>
      <w:r>
        <w:rPr>
          <w:rFonts w:hint="eastAsia" w:ascii="仿宋" w:hAnsi="仿宋" w:eastAsia="仿宋" w:cs="宋体"/>
          <w:color w:val="333333"/>
          <w:kern w:val="0"/>
          <w:sz w:val="32"/>
          <w:szCs w:val="32"/>
        </w:rPr>
        <w:t>（四）勤信实验班学生，计入学分绩点的必修课程加权平均成绩（以下简称为“必修课加权平均成绩”）在本班型</w:t>
      </w:r>
      <w:r>
        <w:rPr>
          <w:rFonts w:hint="default" w:ascii="仿宋" w:hAnsi="仿宋" w:eastAsia="仿宋" w:cs="宋体"/>
          <w:color w:val="333333"/>
          <w:kern w:val="0"/>
          <w:sz w:val="32"/>
          <w:szCs w:val="32"/>
          <w:lang w:val="en-US"/>
        </w:rPr>
        <w:t>同专业</w:t>
      </w:r>
      <w:r>
        <w:rPr>
          <w:rFonts w:hint="eastAsia" w:ascii="仿宋" w:hAnsi="仿宋" w:eastAsia="仿宋" w:cs="宋体"/>
          <w:color w:val="333333"/>
          <w:kern w:val="0"/>
          <w:sz w:val="32"/>
          <w:szCs w:val="32"/>
        </w:rPr>
        <w:t>同年级排名前50%；其他学生，必修课加权平均成绩在本专业同年级排名前30%。（注：双培计划学生按专业单独排名，必修课程加权平均成绩排名前</w:t>
      </w:r>
      <w:r>
        <w:rPr>
          <w:rFonts w:ascii="仿宋" w:hAnsi="仿宋" w:eastAsia="仿宋" w:cs="宋体"/>
          <w:color w:val="333333"/>
          <w:kern w:val="0"/>
          <w:sz w:val="32"/>
          <w:szCs w:val="32"/>
        </w:rPr>
        <w:t>30</w:t>
      </w:r>
      <w:r>
        <w:rPr>
          <w:rFonts w:hint="eastAsia" w:ascii="仿宋" w:hAnsi="仿宋" w:eastAsia="仿宋" w:cs="宋体"/>
          <w:color w:val="333333"/>
          <w:kern w:val="0"/>
          <w:sz w:val="32"/>
          <w:szCs w:val="32"/>
        </w:rPr>
        <w:t>%）</w:t>
      </w:r>
    </w:p>
    <w:p w14:paraId="4BFFF49C">
      <w:pPr>
        <w:widowControl/>
        <w:spacing w:line="560" w:lineRule="exact"/>
        <w:ind w:firstLine="640" w:firstLineChars="200"/>
        <w:rPr>
          <w:rFonts w:ascii="仿宋" w:hAnsi="仿宋" w:eastAsia="仿宋" w:cs="宋体"/>
          <w:color w:val="333333"/>
          <w:kern w:val="0"/>
          <w:sz w:val="32"/>
          <w:szCs w:val="32"/>
        </w:rPr>
      </w:pPr>
      <w:r>
        <w:rPr>
          <w:rFonts w:hint="eastAsia" w:ascii="仿宋" w:hAnsi="仿宋" w:eastAsia="仿宋" w:cs="宋体"/>
          <w:color w:val="333333"/>
          <w:kern w:val="0"/>
          <w:sz w:val="32"/>
          <w:szCs w:val="32"/>
        </w:rPr>
        <w:t xml:space="preserve">（五）有较高的外语应用水平和能力。第一外语为英语的，要通过全国大学英语四级考试（新标准425分）；第一外语为其他语种的，需提供国家认可的相当于上述水平的考试合格证书；英语专业学生须通过专业四级考试。 </w:t>
      </w:r>
    </w:p>
    <w:p w14:paraId="369FD1A9">
      <w:pPr>
        <w:widowControl/>
        <w:spacing w:line="560" w:lineRule="exact"/>
        <w:ind w:firstLine="640" w:firstLineChars="200"/>
        <w:rPr>
          <w:rFonts w:ascii="仿宋" w:hAnsi="仿宋" w:eastAsia="仿宋" w:cs="宋体"/>
          <w:color w:val="333333"/>
          <w:kern w:val="0"/>
          <w:sz w:val="32"/>
          <w:szCs w:val="32"/>
        </w:rPr>
      </w:pPr>
      <w:r>
        <w:rPr>
          <w:rFonts w:hint="eastAsia" w:ascii="仿宋" w:hAnsi="仿宋" w:eastAsia="仿宋" w:cs="宋体"/>
          <w:color w:val="333333"/>
          <w:kern w:val="0"/>
          <w:sz w:val="32"/>
          <w:szCs w:val="32"/>
        </w:rPr>
        <w:t>（六）诚实守信，学风端正，在校学习期间无任何考试违规违纪行为，无剽窃他人学术成果等学术不端行为。</w:t>
      </w:r>
    </w:p>
    <w:p w14:paraId="66EAF9A3">
      <w:pPr>
        <w:widowControl/>
        <w:spacing w:line="560" w:lineRule="exact"/>
        <w:ind w:firstLine="640" w:firstLineChars="200"/>
        <w:rPr>
          <w:rFonts w:ascii="仿宋" w:hAnsi="仿宋" w:eastAsia="仿宋" w:cs="宋体"/>
          <w:color w:val="333333"/>
          <w:kern w:val="0"/>
          <w:sz w:val="32"/>
          <w:szCs w:val="32"/>
        </w:rPr>
      </w:pPr>
      <w:r>
        <w:rPr>
          <w:rFonts w:hint="eastAsia" w:ascii="仿宋" w:hAnsi="仿宋" w:eastAsia="仿宋" w:cs="宋体"/>
          <w:color w:val="333333"/>
          <w:kern w:val="0"/>
          <w:sz w:val="32"/>
          <w:szCs w:val="32"/>
        </w:rPr>
        <w:t>（七）品行表现优良，在校学习期间无任何违法违纪受处分记录。</w:t>
      </w:r>
    </w:p>
    <w:p w14:paraId="095E04AD">
      <w:pPr>
        <w:widowControl/>
        <w:spacing w:line="560" w:lineRule="exact"/>
        <w:ind w:firstLine="640" w:firstLineChars="200"/>
        <w:rPr>
          <w:rFonts w:ascii="仿宋" w:hAnsi="仿宋" w:eastAsia="仿宋" w:cs="宋体"/>
          <w:color w:val="333333"/>
          <w:kern w:val="0"/>
          <w:sz w:val="32"/>
          <w:szCs w:val="32"/>
        </w:rPr>
      </w:pPr>
      <w:r>
        <w:rPr>
          <w:rFonts w:hint="eastAsia" w:ascii="仿宋" w:hAnsi="仿宋" w:eastAsia="仿宋" w:cs="宋体"/>
          <w:color w:val="333333"/>
          <w:kern w:val="0"/>
          <w:sz w:val="32"/>
          <w:szCs w:val="32"/>
        </w:rPr>
        <w:t>（八）热爱大学生思想政治教育工作,愿意担任学生专职辅导员,具有较好的组织协调能力和语言文字表达能力,具有较强的奉献精神和创新精神。</w:t>
      </w:r>
    </w:p>
    <w:p w14:paraId="16DB30AD">
      <w:pPr>
        <w:widowControl/>
        <w:spacing w:line="560" w:lineRule="exact"/>
        <w:ind w:firstLine="640" w:firstLineChars="200"/>
        <w:rPr>
          <w:rFonts w:ascii="仿宋" w:hAnsi="仿宋" w:eastAsia="仿宋" w:cs="宋体"/>
          <w:color w:val="333333"/>
          <w:kern w:val="0"/>
          <w:sz w:val="32"/>
          <w:szCs w:val="32"/>
        </w:rPr>
      </w:pPr>
      <w:r>
        <w:rPr>
          <w:rFonts w:hint="eastAsia" w:ascii="仿宋" w:hAnsi="仿宋" w:eastAsia="仿宋" w:cs="宋体"/>
          <w:color w:val="333333"/>
          <w:kern w:val="0"/>
          <w:sz w:val="32"/>
          <w:szCs w:val="32"/>
        </w:rPr>
        <w:t>第七条</w:t>
      </w:r>
      <w:r>
        <w:rPr>
          <w:rFonts w:ascii="仿宋" w:hAnsi="仿宋" w:eastAsia="仿宋" w:cs="宋体"/>
          <w:color w:val="333333"/>
          <w:kern w:val="0"/>
          <w:sz w:val="32"/>
          <w:szCs w:val="32"/>
        </w:rPr>
        <w:t xml:space="preserve">  </w:t>
      </w:r>
      <w:r>
        <w:rPr>
          <w:rFonts w:hint="eastAsia" w:ascii="仿宋" w:hAnsi="仿宋" w:eastAsia="仿宋" w:cs="宋体"/>
          <w:color w:val="333333"/>
          <w:kern w:val="0"/>
          <w:sz w:val="32"/>
          <w:szCs w:val="32"/>
        </w:rPr>
        <w:t>申请学生干部免试攻读研究生的学生，需参加学院综合成绩排名。综合成绩由必修课加权平均成绩、素质评价成绩两部分组成。</w:t>
      </w:r>
    </w:p>
    <w:p w14:paraId="5B611C3D">
      <w:pPr>
        <w:widowControl/>
        <w:spacing w:line="560" w:lineRule="exact"/>
        <w:ind w:firstLine="640" w:firstLineChars="200"/>
        <w:rPr>
          <w:rFonts w:ascii="仿宋" w:hAnsi="仿宋" w:eastAsia="仿宋" w:cs="宋体"/>
          <w:color w:val="333333"/>
          <w:kern w:val="0"/>
          <w:sz w:val="32"/>
          <w:szCs w:val="32"/>
        </w:rPr>
      </w:pPr>
      <w:r>
        <w:rPr>
          <w:rFonts w:hint="eastAsia" w:ascii="仿宋" w:hAnsi="仿宋" w:eastAsia="仿宋" w:cs="宋体"/>
          <w:color w:val="333333"/>
          <w:kern w:val="0"/>
          <w:sz w:val="32"/>
          <w:szCs w:val="32"/>
        </w:rPr>
        <w:t>（一）必修课加权平均成绩统计范围为前三学年学生所修必修课程，按百分制统计。</w:t>
      </w:r>
    </w:p>
    <w:p w14:paraId="4DE08EA7">
      <w:pPr>
        <w:widowControl/>
        <w:spacing w:line="560" w:lineRule="exact"/>
        <w:ind w:firstLine="640" w:firstLineChars="200"/>
        <w:rPr>
          <w:rFonts w:ascii="仿宋" w:hAnsi="仿宋" w:eastAsia="仿宋" w:cs="宋体"/>
          <w:color w:val="333333"/>
          <w:kern w:val="0"/>
          <w:sz w:val="32"/>
          <w:szCs w:val="32"/>
        </w:rPr>
      </w:pPr>
      <w:r>
        <w:rPr>
          <w:rFonts w:hint="eastAsia" w:ascii="仿宋" w:hAnsi="仿宋" w:eastAsia="仿宋" w:cs="宋体"/>
          <w:color w:val="333333"/>
          <w:kern w:val="0"/>
          <w:sz w:val="32"/>
          <w:szCs w:val="32"/>
        </w:rPr>
        <w:t>（二）素质评价包括学生科研成果、竞赛获奖、参军入伍服兵役、参加志愿服务、到国际组织实习、荣誉加分等引导学生全面发展的评价指标。素质评价的评分标准详见表1。</w:t>
      </w:r>
    </w:p>
    <w:p w14:paraId="0069CB08">
      <w:pPr>
        <w:widowControl/>
        <w:spacing w:line="560" w:lineRule="exact"/>
        <w:ind w:firstLine="640" w:firstLineChars="200"/>
        <w:rPr>
          <w:rFonts w:ascii="仿宋" w:hAnsi="仿宋" w:eastAsia="仿宋" w:cs="宋体"/>
          <w:color w:val="333333"/>
          <w:kern w:val="0"/>
          <w:sz w:val="32"/>
          <w:szCs w:val="32"/>
        </w:rPr>
      </w:pPr>
      <w:r>
        <w:rPr>
          <w:rFonts w:hint="eastAsia" w:ascii="仿宋" w:hAnsi="仿宋" w:eastAsia="仿宋" w:cs="宋体"/>
          <w:color w:val="333333"/>
          <w:kern w:val="0"/>
          <w:sz w:val="32"/>
          <w:szCs w:val="32"/>
        </w:rPr>
        <w:t>各类指标应满足如下条件：</w:t>
      </w:r>
    </w:p>
    <w:p w14:paraId="5533B18A">
      <w:pPr>
        <w:widowControl/>
        <w:spacing w:line="560" w:lineRule="exact"/>
        <w:ind w:firstLine="640" w:firstLineChars="200"/>
        <w:rPr>
          <w:rFonts w:ascii="仿宋" w:hAnsi="仿宋" w:eastAsia="仿宋" w:cs="宋体"/>
          <w:color w:val="333333"/>
          <w:kern w:val="0"/>
          <w:sz w:val="32"/>
          <w:szCs w:val="32"/>
        </w:rPr>
      </w:pPr>
      <w:r>
        <w:rPr>
          <w:rFonts w:hint="eastAsia" w:ascii="仿宋" w:hAnsi="仿宋" w:eastAsia="仿宋" w:cs="宋体"/>
          <w:color w:val="333333"/>
          <w:kern w:val="0"/>
          <w:sz w:val="32"/>
          <w:szCs w:val="32"/>
        </w:rPr>
        <w:t>1.科研成果：包括以独立作者或第一作者发表高水平专业学术论文，以第一完成人获批的国家发明专利。论文和专利必须以北京信息科技大学为第一署名单位。学生与直系亲属或学历、职称、职务明显高于本人者合作的科研成果、竞赛奖项等仅作为参考，不纳入学生本人推免遴选综合成绩计算体系，同等条件下可优先考虑。</w:t>
      </w:r>
    </w:p>
    <w:p w14:paraId="0419C63D">
      <w:pPr>
        <w:widowControl/>
        <w:spacing w:line="560" w:lineRule="exact"/>
        <w:ind w:firstLine="640" w:firstLineChars="200"/>
        <w:rPr>
          <w:rFonts w:ascii="仿宋" w:hAnsi="仿宋" w:eastAsia="仿宋" w:cs="宋体"/>
          <w:color w:val="333333"/>
          <w:kern w:val="0"/>
          <w:sz w:val="32"/>
          <w:szCs w:val="32"/>
        </w:rPr>
      </w:pPr>
      <w:r>
        <w:rPr>
          <w:rFonts w:hint="eastAsia" w:ascii="仿宋" w:hAnsi="仿宋" w:eastAsia="仿宋" w:cs="宋体"/>
          <w:color w:val="333333"/>
          <w:kern w:val="0"/>
          <w:sz w:val="32"/>
          <w:szCs w:val="32"/>
        </w:rPr>
        <w:t>2.竞赛获奖：作为主要成员参加（排名前三）参加学校认定的学科竞赛并获得国家级三等奖及以上奖励。</w:t>
      </w:r>
    </w:p>
    <w:p w14:paraId="196477DC">
      <w:pPr>
        <w:widowControl/>
        <w:spacing w:line="560" w:lineRule="exact"/>
        <w:ind w:firstLine="640" w:firstLineChars="200"/>
        <w:rPr>
          <w:rFonts w:ascii="仿宋" w:hAnsi="仿宋" w:eastAsia="仿宋" w:cs="宋体"/>
          <w:color w:val="333333"/>
          <w:kern w:val="0"/>
          <w:sz w:val="32"/>
          <w:szCs w:val="32"/>
        </w:rPr>
      </w:pPr>
      <w:r>
        <w:rPr>
          <w:rFonts w:hint="eastAsia" w:ascii="仿宋" w:hAnsi="仿宋" w:eastAsia="仿宋" w:cs="宋体"/>
          <w:color w:val="333333"/>
          <w:kern w:val="0"/>
          <w:sz w:val="32"/>
          <w:szCs w:val="32"/>
        </w:rPr>
        <w:t>3.参军入伍服兵役：在校期间参军入伍服兵役的学生，在服役期间获得三等功及以上军功。</w:t>
      </w:r>
    </w:p>
    <w:p w14:paraId="33AF0E05">
      <w:pPr>
        <w:widowControl/>
        <w:spacing w:line="560" w:lineRule="exact"/>
        <w:ind w:firstLine="640" w:firstLineChars="200"/>
        <w:rPr>
          <w:rFonts w:ascii="仿宋" w:hAnsi="仿宋" w:eastAsia="仿宋" w:cs="宋体"/>
          <w:color w:val="333333"/>
          <w:kern w:val="0"/>
          <w:sz w:val="32"/>
          <w:szCs w:val="32"/>
        </w:rPr>
      </w:pPr>
      <w:r>
        <w:rPr>
          <w:rFonts w:hint="eastAsia" w:ascii="仿宋" w:hAnsi="仿宋" w:eastAsia="仿宋" w:cs="宋体"/>
          <w:color w:val="333333"/>
          <w:kern w:val="0"/>
          <w:sz w:val="32"/>
          <w:szCs w:val="32"/>
        </w:rPr>
        <w:t>4.参加志愿服务：在“志愿北京”成为北京注册志愿者，被评定为北京星级志愿者（如未及时申请评定星级，可提供累计志愿服务时长及参与项目记录证明）。</w:t>
      </w:r>
    </w:p>
    <w:p w14:paraId="3A0DDF74">
      <w:pPr>
        <w:widowControl/>
        <w:spacing w:line="560" w:lineRule="exact"/>
        <w:ind w:firstLine="640" w:firstLineChars="200"/>
        <w:rPr>
          <w:rFonts w:ascii="仿宋" w:hAnsi="仿宋" w:eastAsia="仿宋" w:cs="宋体"/>
          <w:color w:val="333333"/>
          <w:kern w:val="0"/>
          <w:sz w:val="32"/>
          <w:szCs w:val="32"/>
        </w:rPr>
      </w:pPr>
      <w:r>
        <w:rPr>
          <w:rFonts w:hint="eastAsia" w:ascii="仿宋" w:hAnsi="仿宋" w:eastAsia="仿宋" w:cs="宋体"/>
          <w:color w:val="333333"/>
          <w:kern w:val="0"/>
          <w:sz w:val="32"/>
          <w:szCs w:val="32"/>
        </w:rPr>
        <w:t>5.到国际组织实习：如在“高校毕业生到国际组织实习任职信息服务平台”参加实习，由全国高等学校学生信息咨询与就业指导中心，提供实习表现鉴定证明；如其他实习项目，由相关省部级及以上单位提供实习表现鉴定证明；实习期要求不少于3个月。</w:t>
      </w:r>
    </w:p>
    <w:p w14:paraId="632A1E00">
      <w:pPr>
        <w:widowControl/>
        <w:shd w:val="clear" w:color="auto" w:fill="FFFFFF"/>
        <w:spacing w:line="555" w:lineRule="atLeast"/>
        <w:jc w:val="center"/>
        <w:rPr>
          <w:rFonts w:ascii="仿宋" w:hAnsi="仿宋" w:eastAsia="仿宋" w:cs="宋体"/>
          <w:b/>
          <w:bCs/>
          <w:color w:val="333333"/>
          <w:kern w:val="0"/>
          <w:sz w:val="24"/>
        </w:rPr>
      </w:pPr>
      <w:r>
        <w:rPr>
          <w:rFonts w:hint="eastAsia" w:ascii="仿宋" w:hAnsi="仿宋" w:eastAsia="仿宋" w:cs="宋体"/>
          <w:b/>
          <w:bCs/>
          <w:color w:val="333333"/>
          <w:kern w:val="0"/>
          <w:sz w:val="24"/>
        </w:rPr>
        <w:t>表</w:t>
      </w:r>
      <w:r>
        <w:rPr>
          <w:rFonts w:ascii="仿宋" w:hAnsi="仿宋" w:eastAsia="仿宋" w:cs="宋体"/>
          <w:b/>
          <w:bCs/>
          <w:color w:val="333333"/>
          <w:kern w:val="0"/>
          <w:sz w:val="24"/>
        </w:rPr>
        <w:t xml:space="preserve">1 </w:t>
      </w:r>
      <w:r>
        <w:rPr>
          <w:rFonts w:hint="eastAsia" w:ascii="仿宋" w:hAnsi="仿宋" w:eastAsia="仿宋" w:cs="宋体"/>
          <w:b/>
          <w:bCs/>
          <w:color w:val="333333"/>
          <w:kern w:val="0"/>
          <w:sz w:val="24"/>
        </w:rPr>
        <w:t>素质评价评分标准</w:t>
      </w:r>
    </w:p>
    <w:tbl>
      <w:tblPr>
        <w:tblStyle w:val="11"/>
        <w:tblW w:w="4972" w:type="pct"/>
        <w:tblInd w:w="0" w:type="dxa"/>
        <w:tblLayout w:type="fixed"/>
        <w:tblCellMar>
          <w:top w:w="0" w:type="dxa"/>
          <w:left w:w="108" w:type="dxa"/>
          <w:bottom w:w="0" w:type="dxa"/>
          <w:right w:w="108" w:type="dxa"/>
        </w:tblCellMar>
      </w:tblPr>
      <w:tblGrid>
        <w:gridCol w:w="1264"/>
        <w:gridCol w:w="1522"/>
        <w:gridCol w:w="1402"/>
        <w:gridCol w:w="1560"/>
        <w:gridCol w:w="875"/>
        <w:gridCol w:w="2612"/>
      </w:tblGrid>
      <w:tr w14:paraId="1576943C">
        <w:tblPrEx>
          <w:tblCellMar>
            <w:top w:w="0" w:type="dxa"/>
            <w:left w:w="108" w:type="dxa"/>
            <w:bottom w:w="0" w:type="dxa"/>
            <w:right w:w="108" w:type="dxa"/>
          </w:tblCellMar>
        </w:tblPrEx>
        <w:trPr>
          <w:trHeight w:val="270" w:hRule="atLeast"/>
        </w:trPr>
        <w:tc>
          <w:tcPr>
            <w:tcW w:w="503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611AD">
            <w:pPr>
              <w:widowControl/>
              <w:textAlignment w:val="center"/>
              <w:rPr>
                <w:rFonts w:ascii="宋体" w:hAnsi="宋体" w:cs="宋体"/>
                <w:color w:val="000000"/>
                <w:sz w:val="22"/>
                <w:szCs w:val="22"/>
              </w:rPr>
            </w:pPr>
            <w:r>
              <w:rPr>
                <w:rFonts w:hint="eastAsia" w:ascii="宋体" w:hAnsi="宋体" w:cs="宋体"/>
                <w:color w:val="000000"/>
                <w:kern w:val="0"/>
                <w:sz w:val="22"/>
                <w:szCs w:val="22"/>
              </w:rPr>
              <w:t>评价内容及标准</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E3371">
            <w:pPr>
              <w:widowControl/>
              <w:textAlignment w:val="center"/>
              <w:rPr>
                <w:rFonts w:ascii="宋体" w:hAnsi="宋体" w:cs="宋体"/>
                <w:color w:val="000000"/>
                <w:sz w:val="22"/>
                <w:szCs w:val="22"/>
              </w:rPr>
            </w:pPr>
            <w:r>
              <w:rPr>
                <w:rFonts w:hint="eastAsia" w:ascii="宋体" w:hAnsi="宋体" w:cs="宋体"/>
                <w:color w:val="000000"/>
                <w:kern w:val="0"/>
                <w:sz w:val="22"/>
                <w:szCs w:val="22"/>
              </w:rPr>
              <w:t>分值</w:t>
            </w:r>
          </w:p>
        </w:tc>
        <w:tc>
          <w:tcPr>
            <w:tcW w:w="22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4ED7F">
            <w:pPr>
              <w:widowControl/>
              <w:textAlignment w:val="center"/>
              <w:rPr>
                <w:rFonts w:ascii="宋体" w:hAnsi="宋体" w:cs="宋体"/>
                <w:color w:val="000000"/>
                <w:sz w:val="22"/>
                <w:szCs w:val="22"/>
              </w:rPr>
            </w:pPr>
            <w:r>
              <w:rPr>
                <w:rFonts w:hint="eastAsia" w:ascii="宋体" w:hAnsi="宋体" w:cs="宋体"/>
                <w:color w:val="000000"/>
                <w:kern w:val="0"/>
                <w:sz w:val="22"/>
                <w:szCs w:val="22"/>
              </w:rPr>
              <w:t>备注</w:t>
            </w:r>
          </w:p>
        </w:tc>
      </w:tr>
      <w:tr w14:paraId="23451DA4">
        <w:tblPrEx>
          <w:tblCellMar>
            <w:top w:w="0" w:type="dxa"/>
            <w:left w:w="108" w:type="dxa"/>
            <w:bottom w:w="0" w:type="dxa"/>
            <w:right w:w="108" w:type="dxa"/>
          </w:tblCellMar>
        </w:tblPrEx>
        <w:trPr>
          <w:trHeight w:val="1080" w:hRule="atLeast"/>
        </w:trPr>
        <w:tc>
          <w:tcPr>
            <w:tcW w:w="110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EEFF8">
            <w:pPr>
              <w:widowControl/>
              <w:textAlignment w:val="center"/>
              <w:rPr>
                <w:rFonts w:ascii="宋体" w:hAnsi="宋体" w:cs="宋体"/>
                <w:color w:val="000000"/>
                <w:kern w:val="0"/>
                <w:sz w:val="22"/>
                <w:szCs w:val="22"/>
              </w:rPr>
            </w:pPr>
            <w:r>
              <w:rPr>
                <w:rFonts w:hint="eastAsia" w:ascii="宋体" w:hAnsi="宋体" w:cs="宋体"/>
                <w:color w:val="000000"/>
                <w:kern w:val="0"/>
                <w:sz w:val="22"/>
                <w:szCs w:val="22"/>
              </w:rPr>
              <w:t>科研</w:t>
            </w:r>
          </w:p>
          <w:p w14:paraId="36FD5F9F">
            <w:pPr>
              <w:widowControl/>
              <w:textAlignment w:val="center"/>
              <w:rPr>
                <w:rFonts w:ascii="宋体" w:hAnsi="宋体" w:cs="宋体"/>
                <w:color w:val="000000"/>
                <w:sz w:val="22"/>
                <w:szCs w:val="22"/>
              </w:rPr>
            </w:pPr>
            <w:r>
              <w:rPr>
                <w:rFonts w:hint="eastAsia" w:ascii="宋体" w:hAnsi="宋体" w:cs="宋体"/>
                <w:color w:val="000000"/>
                <w:kern w:val="0"/>
                <w:sz w:val="22"/>
                <w:szCs w:val="22"/>
              </w:rPr>
              <w:t>成果</w:t>
            </w: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68F39">
            <w:pPr>
              <w:widowControl/>
              <w:textAlignment w:val="center"/>
              <w:rPr>
                <w:rFonts w:ascii="宋体" w:hAnsi="宋体" w:cs="宋体"/>
                <w:color w:val="000000"/>
                <w:sz w:val="22"/>
                <w:szCs w:val="22"/>
              </w:rPr>
            </w:pPr>
            <w:r>
              <w:rPr>
                <w:rFonts w:hint="eastAsia" w:ascii="宋体" w:hAnsi="宋体" w:cs="宋体"/>
                <w:color w:val="000000"/>
                <w:kern w:val="0"/>
                <w:sz w:val="22"/>
                <w:szCs w:val="22"/>
              </w:rPr>
              <w:t>专利</w:t>
            </w:r>
          </w:p>
        </w:tc>
        <w:tc>
          <w:tcPr>
            <w:tcW w:w="25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A303D">
            <w:pPr>
              <w:widowControl/>
              <w:textAlignment w:val="center"/>
              <w:rPr>
                <w:rFonts w:ascii="宋体" w:hAnsi="宋体" w:cs="宋体"/>
                <w:color w:val="000000"/>
                <w:sz w:val="22"/>
                <w:szCs w:val="22"/>
              </w:rPr>
            </w:pPr>
            <w:r>
              <w:rPr>
                <w:rFonts w:hint="eastAsia" w:ascii="宋体" w:hAnsi="宋体" w:cs="宋体"/>
                <w:color w:val="000000"/>
                <w:kern w:val="0"/>
                <w:sz w:val="22"/>
                <w:szCs w:val="22"/>
              </w:rPr>
              <w:t>国家发明专利</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76363">
            <w:pPr>
              <w:widowControl/>
              <w:textAlignment w:val="center"/>
              <w:rPr>
                <w:rFonts w:ascii="宋体" w:hAnsi="宋体" w:cs="宋体"/>
                <w:color w:val="000000"/>
                <w:sz w:val="22"/>
                <w:szCs w:val="22"/>
              </w:rPr>
            </w:pPr>
            <w:r>
              <w:rPr>
                <w:rFonts w:hint="eastAsia" w:ascii="宋体" w:hAnsi="宋体" w:cs="宋体"/>
                <w:color w:val="000000"/>
                <w:kern w:val="0"/>
                <w:sz w:val="22"/>
                <w:szCs w:val="22"/>
              </w:rPr>
              <w:t>6</w:t>
            </w:r>
          </w:p>
        </w:tc>
        <w:tc>
          <w:tcPr>
            <w:tcW w:w="2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A29E8">
            <w:pPr>
              <w:widowControl/>
              <w:textAlignment w:val="center"/>
              <w:rPr>
                <w:rFonts w:ascii="宋体" w:hAnsi="宋体" w:cs="宋体"/>
                <w:color w:val="000000"/>
                <w:sz w:val="22"/>
                <w:szCs w:val="22"/>
              </w:rPr>
            </w:pPr>
            <w:r>
              <w:rPr>
                <w:rFonts w:hint="eastAsia" w:ascii="宋体" w:hAnsi="宋体" w:cs="宋体"/>
                <w:color w:val="000000"/>
                <w:kern w:val="0"/>
                <w:sz w:val="22"/>
                <w:szCs w:val="22"/>
              </w:rPr>
              <w:t>以第一完成人获批，北京信息科技大学为第一署名单位</w:t>
            </w:r>
          </w:p>
        </w:tc>
      </w:tr>
      <w:tr w14:paraId="6E5757AA">
        <w:tblPrEx>
          <w:tblCellMar>
            <w:top w:w="0" w:type="dxa"/>
            <w:left w:w="108" w:type="dxa"/>
            <w:bottom w:w="0" w:type="dxa"/>
            <w:right w:w="108" w:type="dxa"/>
          </w:tblCellMar>
        </w:tblPrEx>
        <w:trPr>
          <w:trHeight w:val="607" w:hRule="atLeast"/>
        </w:trPr>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9746C">
            <w:pPr>
              <w:rPr>
                <w:rFonts w:ascii="宋体" w:hAnsi="宋体" w:cs="宋体"/>
                <w:color w:val="000000"/>
                <w:sz w:val="22"/>
                <w:szCs w:val="22"/>
              </w:rPr>
            </w:pPr>
          </w:p>
        </w:tc>
        <w:tc>
          <w:tcPr>
            <w:tcW w:w="133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08D68">
            <w:pPr>
              <w:widowControl/>
              <w:textAlignment w:val="center"/>
              <w:rPr>
                <w:rFonts w:ascii="宋体" w:hAnsi="宋体" w:cs="宋体"/>
                <w:color w:val="000000"/>
                <w:sz w:val="22"/>
                <w:szCs w:val="22"/>
              </w:rPr>
            </w:pPr>
            <w:r>
              <w:rPr>
                <w:rFonts w:hint="eastAsia" w:ascii="宋体" w:hAnsi="宋体" w:cs="宋体"/>
                <w:color w:val="000000"/>
                <w:kern w:val="0"/>
                <w:sz w:val="22"/>
                <w:szCs w:val="22"/>
              </w:rPr>
              <w:t>论文</w:t>
            </w:r>
          </w:p>
        </w:tc>
        <w:tc>
          <w:tcPr>
            <w:tcW w:w="25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256C5">
            <w:pPr>
              <w:widowControl/>
              <w:textAlignment w:val="center"/>
              <w:rPr>
                <w:rFonts w:ascii="宋体" w:hAnsi="宋体" w:cs="宋体"/>
                <w:color w:val="000000"/>
                <w:sz w:val="22"/>
                <w:szCs w:val="22"/>
              </w:rPr>
            </w:pPr>
            <w:r>
              <w:rPr>
                <w:rFonts w:hint="eastAsia" w:ascii="宋体" w:hAnsi="宋体" w:cs="宋体"/>
                <w:color w:val="000000"/>
                <w:kern w:val="0"/>
                <w:sz w:val="22"/>
                <w:szCs w:val="22"/>
              </w:rPr>
              <w:t>被SCI检索的期刊论文</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84C0F">
            <w:pPr>
              <w:widowControl/>
              <w:textAlignment w:val="center"/>
              <w:rPr>
                <w:rFonts w:ascii="宋体" w:hAnsi="宋体" w:cs="宋体"/>
                <w:color w:val="000000"/>
                <w:sz w:val="22"/>
                <w:szCs w:val="22"/>
              </w:rPr>
            </w:pPr>
            <w:r>
              <w:rPr>
                <w:rFonts w:hint="eastAsia" w:ascii="宋体" w:hAnsi="宋体" w:cs="宋体"/>
                <w:color w:val="000000"/>
                <w:kern w:val="0"/>
                <w:sz w:val="22"/>
                <w:szCs w:val="22"/>
              </w:rPr>
              <w:t>6</w:t>
            </w:r>
          </w:p>
        </w:tc>
        <w:tc>
          <w:tcPr>
            <w:tcW w:w="22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1338B6">
            <w:pPr>
              <w:widowControl/>
              <w:textAlignment w:val="center"/>
              <w:rPr>
                <w:rFonts w:ascii="宋体" w:hAnsi="宋体" w:cs="宋体"/>
                <w:color w:val="000000"/>
                <w:sz w:val="22"/>
                <w:szCs w:val="22"/>
              </w:rPr>
            </w:pPr>
            <w:r>
              <w:rPr>
                <w:rFonts w:hint="eastAsia" w:ascii="宋体" w:hAnsi="宋体" w:cs="宋体"/>
                <w:color w:val="000000"/>
                <w:kern w:val="0"/>
                <w:sz w:val="22"/>
                <w:szCs w:val="22"/>
              </w:rPr>
              <w:t>以独立作者或第一作者发表，北京信息科技大学为第一署名单位。第一作者为署名位次排名第一的作者，不含共同第一作者。</w:t>
            </w:r>
          </w:p>
        </w:tc>
      </w:tr>
      <w:tr w14:paraId="52658477">
        <w:tblPrEx>
          <w:tblCellMar>
            <w:top w:w="0" w:type="dxa"/>
            <w:left w:w="108" w:type="dxa"/>
            <w:bottom w:w="0" w:type="dxa"/>
            <w:right w:w="108" w:type="dxa"/>
          </w:tblCellMar>
        </w:tblPrEx>
        <w:trPr>
          <w:trHeight w:val="645" w:hRule="atLeast"/>
        </w:trPr>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4156D">
            <w:pPr>
              <w:rPr>
                <w:rFonts w:ascii="宋体" w:hAnsi="宋体" w:cs="宋体"/>
                <w:color w:val="000000"/>
                <w:sz w:val="22"/>
                <w:szCs w:val="22"/>
              </w:rPr>
            </w:pPr>
          </w:p>
        </w:tc>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BF2BE">
            <w:pPr>
              <w:rPr>
                <w:rFonts w:ascii="宋体" w:hAnsi="宋体" w:cs="宋体"/>
                <w:color w:val="000000"/>
                <w:sz w:val="22"/>
                <w:szCs w:val="22"/>
              </w:rPr>
            </w:pPr>
          </w:p>
        </w:tc>
        <w:tc>
          <w:tcPr>
            <w:tcW w:w="25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4C23C">
            <w:pPr>
              <w:widowControl/>
              <w:textAlignment w:val="center"/>
              <w:rPr>
                <w:rFonts w:ascii="宋体" w:hAnsi="宋体" w:cs="宋体"/>
                <w:color w:val="000000"/>
                <w:sz w:val="22"/>
                <w:szCs w:val="22"/>
              </w:rPr>
            </w:pPr>
            <w:r>
              <w:rPr>
                <w:rFonts w:hint="eastAsia" w:ascii="宋体" w:hAnsi="宋体" w:cs="宋体"/>
                <w:color w:val="000000"/>
                <w:kern w:val="0"/>
                <w:sz w:val="22"/>
                <w:szCs w:val="22"/>
              </w:rPr>
              <w:t>被EI检索的期刊论文</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2558E">
            <w:pPr>
              <w:widowControl/>
              <w:textAlignment w:val="center"/>
              <w:rPr>
                <w:rFonts w:ascii="宋体" w:hAnsi="宋体" w:cs="宋体"/>
                <w:color w:val="000000"/>
                <w:sz w:val="22"/>
                <w:szCs w:val="22"/>
              </w:rPr>
            </w:pPr>
            <w:r>
              <w:rPr>
                <w:rFonts w:hint="eastAsia" w:ascii="宋体" w:hAnsi="宋体" w:cs="宋体"/>
                <w:color w:val="000000"/>
                <w:kern w:val="0"/>
                <w:sz w:val="22"/>
                <w:szCs w:val="22"/>
              </w:rPr>
              <w:t>4</w:t>
            </w:r>
          </w:p>
        </w:tc>
        <w:tc>
          <w:tcPr>
            <w:tcW w:w="22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1F29F6">
            <w:pPr>
              <w:rPr>
                <w:rFonts w:ascii="宋体" w:hAnsi="宋体" w:cs="宋体"/>
                <w:color w:val="000000"/>
                <w:sz w:val="22"/>
                <w:szCs w:val="22"/>
              </w:rPr>
            </w:pPr>
          </w:p>
        </w:tc>
      </w:tr>
      <w:tr w14:paraId="0BDA2A1F">
        <w:tblPrEx>
          <w:tblCellMar>
            <w:top w:w="0" w:type="dxa"/>
            <w:left w:w="108" w:type="dxa"/>
            <w:bottom w:w="0" w:type="dxa"/>
            <w:right w:w="108" w:type="dxa"/>
          </w:tblCellMar>
        </w:tblPrEx>
        <w:trPr>
          <w:trHeight w:val="626" w:hRule="atLeast"/>
        </w:trPr>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092C3">
            <w:pPr>
              <w:rPr>
                <w:rFonts w:ascii="宋体" w:hAnsi="宋体" w:cs="宋体"/>
                <w:color w:val="000000"/>
                <w:sz w:val="22"/>
                <w:szCs w:val="22"/>
              </w:rPr>
            </w:pPr>
          </w:p>
        </w:tc>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24CB5">
            <w:pPr>
              <w:rPr>
                <w:rFonts w:ascii="宋体" w:hAnsi="宋体" w:cs="宋体"/>
                <w:color w:val="000000"/>
                <w:sz w:val="22"/>
                <w:szCs w:val="22"/>
              </w:rPr>
            </w:pPr>
          </w:p>
        </w:tc>
        <w:tc>
          <w:tcPr>
            <w:tcW w:w="25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69F21">
            <w:pPr>
              <w:widowControl/>
              <w:textAlignment w:val="center"/>
              <w:rPr>
                <w:rFonts w:ascii="宋体" w:hAnsi="宋体" w:cs="宋体"/>
                <w:color w:val="000000"/>
                <w:sz w:val="22"/>
                <w:szCs w:val="22"/>
              </w:rPr>
            </w:pPr>
            <w:r>
              <w:rPr>
                <w:rFonts w:hint="eastAsia" w:ascii="宋体" w:hAnsi="宋体" w:cs="宋体"/>
                <w:color w:val="000000"/>
                <w:kern w:val="0"/>
                <w:sz w:val="22"/>
                <w:szCs w:val="22"/>
              </w:rPr>
              <w:t>中文核心期刊论文</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40A35">
            <w:pPr>
              <w:widowControl/>
              <w:textAlignment w:val="center"/>
              <w:rPr>
                <w:rFonts w:ascii="宋体" w:hAnsi="宋体" w:cs="宋体"/>
                <w:color w:val="000000"/>
                <w:sz w:val="22"/>
                <w:szCs w:val="22"/>
              </w:rPr>
            </w:pPr>
            <w:r>
              <w:rPr>
                <w:rFonts w:hint="eastAsia" w:ascii="宋体" w:hAnsi="宋体" w:cs="宋体"/>
                <w:color w:val="000000"/>
                <w:kern w:val="0"/>
                <w:sz w:val="22"/>
                <w:szCs w:val="22"/>
              </w:rPr>
              <w:t>3</w:t>
            </w:r>
          </w:p>
        </w:tc>
        <w:tc>
          <w:tcPr>
            <w:tcW w:w="22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392F9D">
            <w:pPr>
              <w:rPr>
                <w:rFonts w:ascii="宋体" w:hAnsi="宋体" w:cs="宋体"/>
                <w:color w:val="000000"/>
                <w:sz w:val="22"/>
                <w:szCs w:val="22"/>
              </w:rPr>
            </w:pPr>
          </w:p>
        </w:tc>
      </w:tr>
      <w:tr w14:paraId="3A6F144F">
        <w:tblPrEx>
          <w:tblCellMar>
            <w:top w:w="0" w:type="dxa"/>
            <w:left w:w="108" w:type="dxa"/>
            <w:bottom w:w="0" w:type="dxa"/>
            <w:right w:w="108" w:type="dxa"/>
          </w:tblCellMar>
        </w:tblPrEx>
        <w:trPr>
          <w:trHeight w:val="654" w:hRule="atLeast"/>
        </w:trPr>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A63E6">
            <w:pPr>
              <w:rPr>
                <w:rFonts w:ascii="宋体" w:hAnsi="宋体" w:cs="宋体"/>
                <w:color w:val="000000"/>
                <w:sz w:val="22"/>
                <w:szCs w:val="22"/>
              </w:rPr>
            </w:pPr>
          </w:p>
        </w:tc>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D8C6D">
            <w:pPr>
              <w:rPr>
                <w:rFonts w:ascii="宋体" w:hAnsi="宋体" w:cs="宋体"/>
                <w:color w:val="000000"/>
                <w:sz w:val="22"/>
                <w:szCs w:val="22"/>
              </w:rPr>
            </w:pPr>
          </w:p>
        </w:tc>
        <w:tc>
          <w:tcPr>
            <w:tcW w:w="25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473E2">
            <w:pPr>
              <w:widowControl/>
              <w:textAlignment w:val="center"/>
              <w:rPr>
                <w:rFonts w:ascii="宋体" w:hAnsi="宋体" w:cs="宋体"/>
                <w:color w:val="000000"/>
                <w:sz w:val="22"/>
                <w:szCs w:val="22"/>
              </w:rPr>
            </w:pPr>
            <w:r>
              <w:rPr>
                <w:rFonts w:hint="eastAsia" w:ascii="宋体" w:hAnsi="宋体" w:cs="宋体"/>
                <w:color w:val="000000"/>
                <w:kern w:val="0"/>
                <w:sz w:val="22"/>
                <w:szCs w:val="22"/>
              </w:rPr>
              <w:t>被EI检索的会议论文</w:t>
            </w:r>
          </w:p>
        </w:tc>
        <w:tc>
          <w:tcPr>
            <w:tcW w:w="767"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42C51669">
            <w:pPr>
              <w:widowControl/>
              <w:textAlignment w:val="center"/>
              <w:rPr>
                <w:rFonts w:ascii="宋体" w:hAnsi="宋体" w:cs="宋体"/>
                <w:color w:val="000000"/>
                <w:sz w:val="22"/>
                <w:szCs w:val="22"/>
              </w:rPr>
            </w:pPr>
            <w:r>
              <w:rPr>
                <w:rFonts w:hint="eastAsia" w:ascii="宋体" w:hAnsi="宋体" w:cs="宋体"/>
                <w:color w:val="000000"/>
                <w:kern w:val="0"/>
                <w:sz w:val="22"/>
                <w:szCs w:val="22"/>
              </w:rPr>
              <w:t>2</w:t>
            </w:r>
          </w:p>
        </w:tc>
        <w:tc>
          <w:tcPr>
            <w:tcW w:w="22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0B8AF0">
            <w:pPr>
              <w:rPr>
                <w:rFonts w:ascii="宋体" w:hAnsi="宋体" w:cs="宋体"/>
                <w:color w:val="000000"/>
                <w:sz w:val="22"/>
                <w:szCs w:val="22"/>
              </w:rPr>
            </w:pPr>
          </w:p>
        </w:tc>
      </w:tr>
      <w:tr w14:paraId="514BAA69">
        <w:tblPrEx>
          <w:tblCellMar>
            <w:top w:w="0" w:type="dxa"/>
            <w:left w:w="108" w:type="dxa"/>
            <w:bottom w:w="0" w:type="dxa"/>
            <w:right w:w="108" w:type="dxa"/>
          </w:tblCellMar>
        </w:tblPrEx>
        <w:trPr>
          <w:trHeight w:val="204" w:hRule="atLeast"/>
        </w:trPr>
        <w:tc>
          <w:tcPr>
            <w:tcW w:w="1107" w:type="dxa"/>
            <w:vMerge w:val="restart"/>
            <w:tcBorders>
              <w:top w:val="single" w:color="000000" w:sz="4" w:space="0"/>
              <w:left w:val="single" w:color="000000" w:sz="4" w:space="0"/>
              <w:right w:val="single" w:color="000000" w:sz="4" w:space="0"/>
            </w:tcBorders>
            <w:shd w:val="clear" w:color="auto" w:fill="auto"/>
            <w:noWrap/>
            <w:vAlign w:val="center"/>
          </w:tcPr>
          <w:p w14:paraId="169AE5BB">
            <w:pPr>
              <w:rPr>
                <w:rFonts w:ascii="宋体" w:hAnsi="宋体" w:cs="宋体"/>
                <w:color w:val="000000"/>
                <w:sz w:val="22"/>
                <w:szCs w:val="22"/>
              </w:rPr>
            </w:pPr>
            <w:r>
              <w:rPr>
                <w:rFonts w:hint="eastAsia" w:ascii="宋体" w:hAnsi="宋体" w:cs="宋体"/>
                <w:color w:val="000000"/>
                <w:sz w:val="22"/>
                <w:szCs w:val="22"/>
              </w:rPr>
              <w:t>学科</w:t>
            </w:r>
          </w:p>
          <w:p w14:paraId="093E5988">
            <w:pPr>
              <w:rPr>
                <w:rFonts w:ascii="宋体" w:hAnsi="宋体" w:cs="宋体"/>
                <w:color w:val="000000"/>
                <w:sz w:val="22"/>
                <w:szCs w:val="22"/>
              </w:rPr>
            </w:pPr>
            <w:r>
              <w:rPr>
                <w:rFonts w:hint="eastAsia" w:ascii="宋体" w:hAnsi="宋体" w:cs="宋体"/>
                <w:color w:val="000000"/>
                <w:sz w:val="22"/>
                <w:szCs w:val="22"/>
              </w:rPr>
              <w:t>竞赛</w:t>
            </w:r>
          </w:p>
        </w:tc>
        <w:tc>
          <w:tcPr>
            <w:tcW w:w="1334" w:type="dxa"/>
            <w:vMerge w:val="restart"/>
            <w:tcBorders>
              <w:top w:val="single" w:color="000000" w:sz="4" w:space="0"/>
              <w:left w:val="single" w:color="000000" w:sz="4" w:space="0"/>
              <w:right w:val="single" w:color="000000" w:sz="4" w:space="0"/>
            </w:tcBorders>
            <w:shd w:val="clear" w:color="auto" w:fill="auto"/>
            <w:vAlign w:val="center"/>
          </w:tcPr>
          <w:p w14:paraId="52088E97">
            <w:pPr>
              <w:rPr>
                <w:rFonts w:ascii="宋体" w:hAnsi="宋体" w:cs="宋体"/>
                <w:color w:val="000000"/>
                <w:sz w:val="22"/>
                <w:szCs w:val="22"/>
              </w:rPr>
            </w:pPr>
            <w:r>
              <w:rPr>
                <w:rFonts w:hint="eastAsia" w:ascii="宋体" w:hAnsi="宋体" w:cs="宋体"/>
                <w:color w:val="000000"/>
                <w:sz w:val="22"/>
                <w:szCs w:val="22"/>
              </w:rPr>
              <w:t>学校认定的学科竞赛</w:t>
            </w:r>
          </w:p>
        </w:tc>
        <w:tc>
          <w:tcPr>
            <w:tcW w:w="1229" w:type="dxa"/>
            <w:vMerge w:val="restart"/>
            <w:tcBorders>
              <w:top w:val="single" w:color="000000" w:sz="4" w:space="0"/>
              <w:left w:val="single" w:color="000000" w:sz="4" w:space="0"/>
              <w:right w:val="single" w:color="000000" w:sz="4" w:space="0"/>
            </w:tcBorders>
            <w:shd w:val="clear" w:color="auto" w:fill="auto"/>
            <w:noWrap/>
            <w:vAlign w:val="center"/>
          </w:tcPr>
          <w:p w14:paraId="63854174">
            <w:pPr>
              <w:widowControl/>
              <w:textAlignment w:val="center"/>
              <w:rPr>
                <w:rFonts w:ascii="宋体" w:hAnsi="宋体" w:cs="宋体"/>
                <w:color w:val="000000"/>
                <w:sz w:val="22"/>
                <w:szCs w:val="22"/>
              </w:rPr>
            </w:pPr>
            <w:r>
              <w:rPr>
                <w:rFonts w:hint="eastAsia" w:ascii="宋体" w:hAnsi="宋体" w:cs="宋体"/>
                <w:color w:val="000000"/>
                <w:sz w:val="22"/>
                <w:szCs w:val="22"/>
              </w:rPr>
              <w:t>A1类</w:t>
            </w:r>
          </w:p>
          <w:p w14:paraId="75BF5E13">
            <w:pPr>
              <w:widowControl/>
              <w:textAlignment w:val="center"/>
              <w:rPr>
                <w:rFonts w:ascii="宋体" w:hAnsi="宋体" w:cs="宋体"/>
                <w:color w:val="000000"/>
                <w:sz w:val="22"/>
                <w:szCs w:val="22"/>
              </w:rPr>
            </w:pPr>
            <w:r>
              <w:rPr>
                <w:rFonts w:hint="eastAsia" w:ascii="宋体" w:hAnsi="宋体" w:cs="宋体"/>
                <w:color w:val="000000"/>
                <w:sz w:val="22"/>
                <w:szCs w:val="22"/>
              </w:rPr>
              <w:t>竞赛</w:t>
            </w:r>
          </w:p>
        </w:tc>
        <w:tc>
          <w:tcPr>
            <w:tcW w:w="1367"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1A8E1EBC">
            <w:pPr>
              <w:widowControl/>
              <w:textAlignment w:val="center"/>
              <w:rPr>
                <w:rFonts w:ascii="宋体" w:hAnsi="宋体" w:cs="宋体"/>
                <w:color w:val="000000"/>
                <w:kern w:val="0"/>
                <w:sz w:val="22"/>
                <w:szCs w:val="22"/>
              </w:rPr>
            </w:pPr>
            <w:r>
              <w:rPr>
                <w:rFonts w:hint="eastAsia" w:ascii="宋体" w:hAnsi="宋体" w:cs="宋体"/>
                <w:color w:val="000000"/>
                <w:kern w:val="0"/>
                <w:sz w:val="22"/>
                <w:szCs w:val="22"/>
              </w:rPr>
              <w:t>国家级</w:t>
            </w:r>
          </w:p>
          <w:p w14:paraId="088D327D">
            <w:pPr>
              <w:widowControl/>
              <w:textAlignment w:val="center"/>
              <w:rPr>
                <w:rFonts w:ascii="宋体" w:hAnsi="宋体" w:cs="宋体"/>
                <w:color w:val="000000"/>
                <w:kern w:val="0"/>
                <w:sz w:val="22"/>
                <w:szCs w:val="22"/>
              </w:rPr>
            </w:pPr>
            <w:r>
              <w:rPr>
                <w:rFonts w:hint="eastAsia" w:ascii="宋体" w:hAnsi="宋体" w:cs="宋体"/>
                <w:color w:val="000000"/>
                <w:kern w:val="0"/>
                <w:sz w:val="22"/>
                <w:szCs w:val="22"/>
              </w:rPr>
              <w:t>一等奖</w:t>
            </w:r>
          </w:p>
        </w:tc>
        <w:tc>
          <w:tcPr>
            <w:tcW w:w="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8212EA">
            <w:pPr>
              <w:widowControl/>
              <w:textAlignment w:val="center"/>
              <w:rPr>
                <w:rFonts w:ascii="宋体" w:hAnsi="宋体" w:cs="宋体"/>
                <w:color w:val="000000"/>
                <w:sz w:val="22"/>
                <w:szCs w:val="22"/>
              </w:rPr>
            </w:pPr>
            <w:r>
              <w:rPr>
                <w:rFonts w:ascii="宋体" w:hAnsi="宋体" w:cs="宋体"/>
                <w:color w:val="000000"/>
                <w:sz w:val="22"/>
                <w:szCs w:val="22"/>
              </w:rPr>
              <w:t>8</w:t>
            </w:r>
          </w:p>
        </w:tc>
        <w:tc>
          <w:tcPr>
            <w:tcW w:w="2289" w:type="dxa"/>
            <w:vMerge w:val="restart"/>
            <w:tcBorders>
              <w:top w:val="single" w:color="000000" w:sz="4" w:space="0"/>
              <w:left w:val="single" w:color="auto" w:sz="4" w:space="0"/>
              <w:right w:val="single" w:color="000000" w:sz="4" w:space="0"/>
            </w:tcBorders>
            <w:shd w:val="clear" w:color="auto" w:fill="auto"/>
            <w:vAlign w:val="center"/>
          </w:tcPr>
          <w:p w14:paraId="1BA65666">
            <w:pPr>
              <w:widowControl/>
              <w:tabs>
                <w:tab w:val="center" w:pos="518"/>
              </w:tabs>
              <w:textAlignment w:val="center"/>
              <w:rPr>
                <w:rFonts w:ascii="宋体" w:hAnsi="宋体" w:cs="宋体"/>
                <w:color w:val="000000"/>
                <w:sz w:val="22"/>
                <w:szCs w:val="22"/>
              </w:rPr>
            </w:pPr>
            <w:r>
              <w:rPr>
                <w:rFonts w:hint="eastAsia" w:ascii="宋体" w:hAnsi="宋体" w:cs="宋体"/>
                <w:color w:val="000000"/>
                <w:sz w:val="22"/>
                <w:szCs w:val="22"/>
              </w:rPr>
              <w:t>作为主要成员参加（排名前三）依排名先后顺序按照比例计分。一人：100%；二人：6:4；三人：5:3:2。</w:t>
            </w:r>
          </w:p>
        </w:tc>
      </w:tr>
      <w:tr w14:paraId="15BD37B8">
        <w:tblPrEx>
          <w:tblCellMar>
            <w:top w:w="0" w:type="dxa"/>
            <w:left w:w="108" w:type="dxa"/>
            <w:bottom w:w="0" w:type="dxa"/>
            <w:right w:w="108" w:type="dxa"/>
          </w:tblCellMar>
        </w:tblPrEx>
        <w:trPr>
          <w:trHeight w:val="204" w:hRule="atLeast"/>
        </w:trPr>
        <w:tc>
          <w:tcPr>
            <w:tcW w:w="1107" w:type="dxa"/>
            <w:vMerge w:val="continue"/>
            <w:tcBorders>
              <w:left w:val="single" w:color="000000" w:sz="4" w:space="0"/>
              <w:right w:val="single" w:color="000000" w:sz="4" w:space="0"/>
            </w:tcBorders>
            <w:shd w:val="clear" w:color="auto" w:fill="auto"/>
            <w:noWrap/>
            <w:vAlign w:val="center"/>
          </w:tcPr>
          <w:p w14:paraId="3A54E8DA">
            <w:pPr>
              <w:widowControl/>
              <w:textAlignment w:val="center"/>
            </w:pPr>
          </w:p>
        </w:tc>
        <w:tc>
          <w:tcPr>
            <w:tcW w:w="1334" w:type="dxa"/>
            <w:vMerge w:val="continue"/>
            <w:tcBorders>
              <w:left w:val="single" w:color="000000" w:sz="4" w:space="0"/>
              <w:right w:val="single" w:color="000000" w:sz="4" w:space="0"/>
            </w:tcBorders>
            <w:shd w:val="clear" w:color="auto" w:fill="auto"/>
            <w:vAlign w:val="center"/>
          </w:tcPr>
          <w:p w14:paraId="4864E248">
            <w:pPr>
              <w:widowControl/>
              <w:textAlignment w:val="center"/>
            </w:pPr>
          </w:p>
        </w:tc>
        <w:tc>
          <w:tcPr>
            <w:tcW w:w="1229" w:type="dxa"/>
            <w:vMerge w:val="continue"/>
            <w:tcBorders>
              <w:left w:val="single" w:color="000000" w:sz="4" w:space="0"/>
              <w:right w:val="single" w:color="000000" w:sz="4" w:space="0"/>
            </w:tcBorders>
            <w:shd w:val="clear" w:color="auto" w:fill="auto"/>
            <w:noWrap/>
            <w:vAlign w:val="center"/>
          </w:tcPr>
          <w:p w14:paraId="1FAB15C3">
            <w:pPr>
              <w:widowControl/>
              <w:textAlignment w:val="center"/>
            </w:pPr>
          </w:p>
        </w:tc>
        <w:tc>
          <w:tcPr>
            <w:tcW w:w="1367"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27DBF1C3">
            <w:pPr>
              <w:widowControl/>
              <w:textAlignment w:val="center"/>
              <w:rPr>
                <w:rFonts w:ascii="宋体" w:hAnsi="宋体" w:cs="宋体"/>
                <w:color w:val="000000"/>
                <w:kern w:val="0"/>
                <w:sz w:val="22"/>
                <w:szCs w:val="22"/>
              </w:rPr>
            </w:pPr>
            <w:r>
              <w:rPr>
                <w:rFonts w:hint="eastAsia" w:ascii="宋体" w:hAnsi="宋体" w:cs="宋体"/>
                <w:color w:val="000000"/>
                <w:kern w:val="0"/>
                <w:sz w:val="22"/>
                <w:szCs w:val="22"/>
              </w:rPr>
              <w:t>国家级</w:t>
            </w:r>
          </w:p>
          <w:p w14:paraId="5651F7EC">
            <w:pPr>
              <w:widowControl/>
              <w:textAlignment w:val="center"/>
              <w:rPr>
                <w:rFonts w:ascii="宋体" w:hAnsi="宋体" w:cs="宋体"/>
                <w:color w:val="000000"/>
                <w:kern w:val="0"/>
                <w:sz w:val="22"/>
                <w:szCs w:val="22"/>
              </w:rPr>
            </w:pPr>
            <w:r>
              <w:rPr>
                <w:rFonts w:hint="eastAsia" w:ascii="宋体" w:hAnsi="宋体" w:cs="宋体"/>
                <w:color w:val="000000"/>
                <w:kern w:val="0"/>
                <w:sz w:val="22"/>
                <w:szCs w:val="22"/>
              </w:rPr>
              <w:t>二等奖</w:t>
            </w:r>
          </w:p>
        </w:tc>
        <w:tc>
          <w:tcPr>
            <w:tcW w:w="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63D80D">
            <w:pPr>
              <w:widowControl/>
              <w:textAlignment w:val="center"/>
              <w:rPr>
                <w:rFonts w:ascii="宋体" w:hAnsi="宋体" w:cs="宋体"/>
                <w:color w:val="000000"/>
                <w:kern w:val="0"/>
                <w:sz w:val="22"/>
                <w:szCs w:val="22"/>
              </w:rPr>
            </w:pPr>
            <w:r>
              <w:rPr>
                <w:rFonts w:ascii="宋体" w:hAnsi="宋体" w:cs="宋体"/>
                <w:color w:val="000000"/>
                <w:kern w:val="0"/>
                <w:sz w:val="22"/>
                <w:szCs w:val="22"/>
              </w:rPr>
              <w:t>7</w:t>
            </w:r>
          </w:p>
        </w:tc>
        <w:tc>
          <w:tcPr>
            <w:tcW w:w="2289" w:type="dxa"/>
            <w:vMerge w:val="continue"/>
            <w:tcBorders>
              <w:left w:val="single" w:color="auto" w:sz="4" w:space="0"/>
              <w:right w:val="single" w:color="000000" w:sz="4" w:space="0"/>
            </w:tcBorders>
            <w:shd w:val="clear" w:color="auto" w:fill="auto"/>
            <w:vAlign w:val="center"/>
          </w:tcPr>
          <w:p w14:paraId="204EF0A3">
            <w:pPr>
              <w:widowControl/>
              <w:textAlignment w:val="center"/>
              <w:rPr>
                <w:rFonts w:ascii="宋体" w:hAnsi="宋体" w:cs="宋体"/>
                <w:color w:val="000000"/>
                <w:kern w:val="0"/>
                <w:sz w:val="22"/>
                <w:szCs w:val="22"/>
                <w:highlight w:val="yellow"/>
              </w:rPr>
            </w:pPr>
          </w:p>
        </w:tc>
      </w:tr>
      <w:tr w14:paraId="0AACFFBA">
        <w:tblPrEx>
          <w:tblCellMar>
            <w:top w:w="0" w:type="dxa"/>
            <w:left w:w="108" w:type="dxa"/>
            <w:bottom w:w="0" w:type="dxa"/>
            <w:right w:w="108" w:type="dxa"/>
          </w:tblCellMar>
        </w:tblPrEx>
        <w:trPr>
          <w:trHeight w:val="204" w:hRule="atLeast"/>
        </w:trPr>
        <w:tc>
          <w:tcPr>
            <w:tcW w:w="1107" w:type="dxa"/>
            <w:vMerge w:val="continue"/>
            <w:tcBorders>
              <w:left w:val="single" w:color="000000" w:sz="4" w:space="0"/>
              <w:bottom w:val="single" w:color="000000" w:sz="4" w:space="0"/>
              <w:right w:val="single" w:color="000000" w:sz="4" w:space="0"/>
            </w:tcBorders>
            <w:shd w:val="clear" w:color="auto" w:fill="auto"/>
            <w:noWrap/>
            <w:vAlign w:val="center"/>
          </w:tcPr>
          <w:p w14:paraId="4CBC4513">
            <w:pPr>
              <w:widowControl/>
              <w:textAlignment w:val="center"/>
              <w:rPr>
                <w:rFonts w:ascii="宋体" w:hAnsi="宋体" w:cs="宋体"/>
                <w:color w:val="000000"/>
                <w:kern w:val="0"/>
                <w:sz w:val="22"/>
                <w:szCs w:val="22"/>
                <w:highlight w:val="yellow"/>
              </w:rPr>
            </w:pPr>
          </w:p>
        </w:tc>
        <w:tc>
          <w:tcPr>
            <w:tcW w:w="1334" w:type="dxa"/>
            <w:vMerge w:val="continue"/>
            <w:tcBorders>
              <w:left w:val="single" w:color="000000" w:sz="4" w:space="0"/>
              <w:bottom w:val="single" w:color="000000" w:sz="4" w:space="0"/>
              <w:right w:val="single" w:color="000000" w:sz="4" w:space="0"/>
            </w:tcBorders>
            <w:shd w:val="clear" w:color="auto" w:fill="auto"/>
            <w:vAlign w:val="center"/>
          </w:tcPr>
          <w:p w14:paraId="07215CDA">
            <w:pPr>
              <w:widowControl/>
              <w:textAlignment w:val="center"/>
              <w:rPr>
                <w:rFonts w:ascii="宋体" w:hAnsi="宋体" w:cs="宋体"/>
                <w:color w:val="000000"/>
                <w:kern w:val="0"/>
                <w:sz w:val="22"/>
                <w:szCs w:val="22"/>
                <w:highlight w:val="yellow"/>
              </w:rPr>
            </w:pPr>
          </w:p>
        </w:tc>
        <w:tc>
          <w:tcPr>
            <w:tcW w:w="1229" w:type="dxa"/>
            <w:vMerge w:val="continue"/>
            <w:tcBorders>
              <w:left w:val="single" w:color="000000" w:sz="4" w:space="0"/>
              <w:bottom w:val="single" w:color="000000" w:sz="4" w:space="0"/>
              <w:right w:val="single" w:color="000000" w:sz="4" w:space="0"/>
            </w:tcBorders>
            <w:shd w:val="clear" w:color="auto" w:fill="auto"/>
            <w:noWrap/>
            <w:vAlign w:val="center"/>
          </w:tcPr>
          <w:p w14:paraId="3BF4C97F">
            <w:pPr>
              <w:widowControl/>
              <w:textAlignment w:val="center"/>
              <w:rPr>
                <w:rFonts w:ascii="宋体" w:hAnsi="宋体" w:cs="宋体"/>
                <w:color w:val="000000"/>
                <w:kern w:val="0"/>
                <w:sz w:val="22"/>
                <w:szCs w:val="22"/>
              </w:rPr>
            </w:pPr>
          </w:p>
        </w:tc>
        <w:tc>
          <w:tcPr>
            <w:tcW w:w="1367"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60FAA623">
            <w:pPr>
              <w:widowControl/>
              <w:textAlignment w:val="center"/>
              <w:rPr>
                <w:rFonts w:ascii="宋体" w:hAnsi="宋体" w:cs="宋体"/>
                <w:color w:val="000000"/>
                <w:kern w:val="0"/>
                <w:sz w:val="22"/>
                <w:szCs w:val="22"/>
              </w:rPr>
            </w:pPr>
            <w:r>
              <w:rPr>
                <w:rFonts w:hint="eastAsia" w:ascii="宋体" w:hAnsi="宋体" w:cs="宋体"/>
                <w:color w:val="000000"/>
                <w:kern w:val="0"/>
                <w:sz w:val="22"/>
                <w:szCs w:val="22"/>
              </w:rPr>
              <w:t>国家级</w:t>
            </w:r>
          </w:p>
          <w:p w14:paraId="3FCDB2E6">
            <w:pPr>
              <w:widowControl/>
              <w:textAlignment w:val="center"/>
              <w:rPr>
                <w:rFonts w:ascii="宋体" w:hAnsi="宋体" w:cs="宋体"/>
                <w:color w:val="000000"/>
                <w:kern w:val="0"/>
                <w:sz w:val="22"/>
                <w:szCs w:val="22"/>
              </w:rPr>
            </w:pPr>
            <w:r>
              <w:rPr>
                <w:rFonts w:hint="eastAsia" w:ascii="宋体" w:hAnsi="宋体" w:cs="宋体"/>
                <w:color w:val="000000"/>
                <w:kern w:val="0"/>
                <w:sz w:val="22"/>
                <w:szCs w:val="22"/>
              </w:rPr>
              <w:t>三等奖</w:t>
            </w:r>
          </w:p>
        </w:tc>
        <w:tc>
          <w:tcPr>
            <w:tcW w:w="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2417F3">
            <w:pPr>
              <w:widowControl/>
              <w:textAlignment w:val="center"/>
              <w:rPr>
                <w:rFonts w:ascii="宋体" w:hAnsi="宋体" w:cs="宋体"/>
                <w:color w:val="000000"/>
                <w:kern w:val="0"/>
                <w:sz w:val="22"/>
                <w:szCs w:val="22"/>
              </w:rPr>
            </w:pPr>
            <w:r>
              <w:rPr>
                <w:rFonts w:ascii="宋体" w:hAnsi="宋体" w:cs="宋体"/>
                <w:color w:val="000000"/>
                <w:kern w:val="0"/>
                <w:sz w:val="22"/>
                <w:szCs w:val="22"/>
              </w:rPr>
              <w:t>6</w:t>
            </w:r>
          </w:p>
        </w:tc>
        <w:tc>
          <w:tcPr>
            <w:tcW w:w="2289" w:type="dxa"/>
            <w:vMerge w:val="continue"/>
            <w:tcBorders>
              <w:left w:val="single" w:color="auto" w:sz="4" w:space="0"/>
              <w:bottom w:val="single" w:color="000000" w:sz="4" w:space="0"/>
              <w:right w:val="single" w:color="000000" w:sz="4" w:space="0"/>
            </w:tcBorders>
            <w:shd w:val="clear" w:color="auto" w:fill="auto"/>
            <w:vAlign w:val="center"/>
          </w:tcPr>
          <w:p w14:paraId="33DC0514">
            <w:pPr>
              <w:widowControl/>
              <w:textAlignment w:val="center"/>
              <w:rPr>
                <w:rFonts w:ascii="宋体" w:hAnsi="宋体" w:cs="宋体"/>
                <w:color w:val="000000"/>
                <w:kern w:val="0"/>
                <w:sz w:val="22"/>
                <w:szCs w:val="22"/>
                <w:highlight w:val="yellow"/>
              </w:rPr>
            </w:pPr>
          </w:p>
        </w:tc>
      </w:tr>
      <w:tr w14:paraId="50E8B4D0">
        <w:tblPrEx>
          <w:tblCellMar>
            <w:top w:w="0" w:type="dxa"/>
            <w:left w:w="108" w:type="dxa"/>
            <w:bottom w:w="0" w:type="dxa"/>
            <w:right w:w="108" w:type="dxa"/>
          </w:tblCellMar>
        </w:tblPrEx>
        <w:trPr>
          <w:trHeight w:val="356" w:hRule="atLeast"/>
        </w:trPr>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BED9D">
            <w:pPr>
              <w:rPr>
                <w:rFonts w:ascii="宋体" w:hAnsi="宋体" w:cs="宋体"/>
                <w:color w:val="000000"/>
                <w:sz w:val="22"/>
                <w:szCs w:val="22"/>
              </w:rPr>
            </w:pPr>
          </w:p>
        </w:tc>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91EEA7">
            <w:pPr>
              <w:rPr>
                <w:rFonts w:ascii="宋体" w:hAnsi="宋体" w:cs="宋体"/>
                <w:color w:val="000000"/>
                <w:sz w:val="22"/>
                <w:szCs w:val="22"/>
              </w:rPr>
            </w:pPr>
          </w:p>
        </w:tc>
        <w:tc>
          <w:tcPr>
            <w:tcW w:w="1229" w:type="dxa"/>
            <w:vMerge w:val="restart"/>
            <w:tcBorders>
              <w:top w:val="single" w:color="000000" w:sz="4" w:space="0"/>
              <w:left w:val="single" w:color="000000" w:sz="4" w:space="0"/>
              <w:right w:val="single" w:color="000000" w:sz="4" w:space="0"/>
            </w:tcBorders>
            <w:shd w:val="clear" w:color="auto" w:fill="auto"/>
            <w:noWrap/>
            <w:vAlign w:val="center"/>
          </w:tcPr>
          <w:p w14:paraId="05B992A6">
            <w:pPr>
              <w:widowControl/>
              <w:textAlignment w:val="center"/>
              <w:rPr>
                <w:rFonts w:ascii="宋体" w:hAnsi="宋体" w:cs="宋体"/>
                <w:color w:val="000000"/>
                <w:sz w:val="22"/>
                <w:szCs w:val="22"/>
              </w:rPr>
            </w:pPr>
            <w:r>
              <w:rPr>
                <w:rFonts w:hint="eastAsia" w:ascii="宋体" w:hAnsi="宋体" w:cs="宋体"/>
                <w:color w:val="000000"/>
                <w:sz w:val="22"/>
                <w:szCs w:val="22"/>
              </w:rPr>
              <w:t>A2类</w:t>
            </w:r>
          </w:p>
          <w:p w14:paraId="72B5DDE9">
            <w:pPr>
              <w:widowControl/>
              <w:textAlignment w:val="center"/>
              <w:rPr>
                <w:rFonts w:ascii="宋体" w:hAnsi="宋体" w:cs="宋体"/>
                <w:color w:val="000000"/>
                <w:sz w:val="22"/>
                <w:szCs w:val="22"/>
              </w:rPr>
            </w:pPr>
            <w:r>
              <w:rPr>
                <w:rFonts w:hint="eastAsia" w:ascii="宋体" w:hAnsi="宋体" w:cs="宋体"/>
                <w:color w:val="000000"/>
                <w:sz w:val="22"/>
                <w:szCs w:val="22"/>
              </w:rPr>
              <w:t>竞赛</w:t>
            </w:r>
          </w:p>
        </w:tc>
        <w:tc>
          <w:tcPr>
            <w:tcW w:w="1367"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62569BD5">
            <w:pPr>
              <w:widowControl/>
              <w:textAlignment w:val="center"/>
              <w:rPr>
                <w:rFonts w:ascii="宋体" w:hAnsi="宋体" w:cs="宋体"/>
                <w:color w:val="000000"/>
                <w:kern w:val="0"/>
                <w:sz w:val="22"/>
                <w:szCs w:val="22"/>
              </w:rPr>
            </w:pPr>
            <w:r>
              <w:rPr>
                <w:rFonts w:hint="eastAsia" w:ascii="宋体" w:hAnsi="宋体" w:cs="宋体"/>
                <w:color w:val="000000"/>
                <w:kern w:val="0"/>
                <w:sz w:val="22"/>
                <w:szCs w:val="22"/>
              </w:rPr>
              <w:t>国家级</w:t>
            </w:r>
          </w:p>
          <w:p w14:paraId="0D5B1018">
            <w:pPr>
              <w:widowControl/>
              <w:textAlignment w:val="center"/>
              <w:rPr>
                <w:rFonts w:ascii="宋体" w:hAnsi="宋体" w:cs="宋体"/>
                <w:color w:val="000000"/>
                <w:kern w:val="0"/>
                <w:sz w:val="22"/>
                <w:szCs w:val="22"/>
              </w:rPr>
            </w:pPr>
            <w:r>
              <w:rPr>
                <w:rFonts w:hint="eastAsia" w:ascii="宋体" w:hAnsi="宋体" w:cs="宋体"/>
                <w:color w:val="000000"/>
                <w:kern w:val="0"/>
                <w:sz w:val="22"/>
                <w:szCs w:val="22"/>
              </w:rPr>
              <w:t>一等奖</w:t>
            </w:r>
          </w:p>
        </w:tc>
        <w:tc>
          <w:tcPr>
            <w:tcW w:w="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DBB700">
            <w:pPr>
              <w:widowControl/>
              <w:textAlignment w:val="center"/>
              <w:rPr>
                <w:rFonts w:ascii="宋体" w:hAnsi="宋体" w:cs="宋体"/>
                <w:color w:val="000000"/>
                <w:sz w:val="22"/>
                <w:szCs w:val="22"/>
              </w:rPr>
            </w:pPr>
            <w:r>
              <w:rPr>
                <w:rFonts w:ascii="宋体" w:hAnsi="宋体" w:cs="宋体"/>
                <w:color w:val="000000"/>
                <w:kern w:val="0"/>
                <w:sz w:val="22"/>
                <w:szCs w:val="22"/>
              </w:rPr>
              <w:t>7</w:t>
            </w:r>
          </w:p>
        </w:tc>
        <w:tc>
          <w:tcPr>
            <w:tcW w:w="2289"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3A0174A5">
            <w:pPr>
              <w:rPr>
                <w:rFonts w:ascii="宋体" w:hAnsi="宋体" w:cs="宋体"/>
                <w:color w:val="000000"/>
                <w:sz w:val="22"/>
                <w:szCs w:val="22"/>
              </w:rPr>
            </w:pPr>
          </w:p>
        </w:tc>
      </w:tr>
      <w:tr w14:paraId="4ACE8627">
        <w:tblPrEx>
          <w:tblCellMar>
            <w:top w:w="0" w:type="dxa"/>
            <w:left w:w="108" w:type="dxa"/>
            <w:bottom w:w="0" w:type="dxa"/>
            <w:right w:w="108" w:type="dxa"/>
          </w:tblCellMar>
        </w:tblPrEx>
        <w:trPr>
          <w:trHeight w:val="356" w:hRule="atLeast"/>
        </w:trPr>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B15C3">
            <w:pPr>
              <w:widowControl/>
              <w:textAlignment w:val="center"/>
            </w:pPr>
          </w:p>
        </w:tc>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4FD2F1">
            <w:pPr>
              <w:widowControl/>
              <w:textAlignment w:val="center"/>
            </w:pPr>
          </w:p>
        </w:tc>
        <w:tc>
          <w:tcPr>
            <w:tcW w:w="1229" w:type="dxa"/>
            <w:vMerge w:val="continue"/>
            <w:tcBorders>
              <w:left w:val="single" w:color="000000" w:sz="4" w:space="0"/>
              <w:right w:val="single" w:color="000000" w:sz="4" w:space="0"/>
            </w:tcBorders>
            <w:shd w:val="clear" w:color="auto" w:fill="auto"/>
            <w:noWrap/>
            <w:vAlign w:val="center"/>
          </w:tcPr>
          <w:p w14:paraId="25294FB7">
            <w:pPr>
              <w:widowControl/>
              <w:textAlignment w:val="center"/>
            </w:pPr>
          </w:p>
        </w:tc>
        <w:tc>
          <w:tcPr>
            <w:tcW w:w="1367"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1BA19F0E">
            <w:pPr>
              <w:widowControl/>
              <w:textAlignment w:val="center"/>
              <w:rPr>
                <w:rFonts w:ascii="宋体" w:hAnsi="宋体" w:cs="宋体"/>
                <w:color w:val="000000"/>
                <w:kern w:val="0"/>
                <w:sz w:val="22"/>
                <w:szCs w:val="22"/>
              </w:rPr>
            </w:pPr>
            <w:r>
              <w:rPr>
                <w:rFonts w:hint="eastAsia" w:ascii="宋体" w:hAnsi="宋体" w:cs="宋体"/>
                <w:color w:val="000000"/>
                <w:kern w:val="0"/>
                <w:sz w:val="22"/>
                <w:szCs w:val="22"/>
              </w:rPr>
              <w:t>国家级</w:t>
            </w:r>
          </w:p>
          <w:p w14:paraId="2CB5F8D1">
            <w:pPr>
              <w:widowControl/>
              <w:textAlignment w:val="center"/>
              <w:rPr>
                <w:rFonts w:ascii="宋体" w:hAnsi="宋体" w:cs="宋体"/>
                <w:color w:val="000000"/>
                <w:kern w:val="0"/>
                <w:sz w:val="22"/>
                <w:szCs w:val="22"/>
              </w:rPr>
            </w:pPr>
            <w:r>
              <w:rPr>
                <w:rFonts w:hint="eastAsia" w:ascii="宋体" w:hAnsi="宋体" w:cs="宋体"/>
                <w:color w:val="000000"/>
                <w:kern w:val="0"/>
                <w:sz w:val="22"/>
                <w:szCs w:val="22"/>
              </w:rPr>
              <w:t>二等奖</w:t>
            </w:r>
          </w:p>
        </w:tc>
        <w:tc>
          <w:tcPr>
            <w:tcW w:w="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E0ADED">
            <w:pPr>
              <w:widowControl/>
              <w:textAlignment w:val="center"/>
              <w:rPr>
                <w:rFonts w:ascii="宋体" w:hAnsi="宋体" w:cs="宋体"/>
                <w:color w:val="000000"/>
                <w:kern w:val="0"/>
                <w:sz w:val="22"/>
                <w:szCs w:val="22"/>
              </w:rPr>
            </w:pPr>
            <w:r>
              <w:rPr>
                <w:rFonts w:ascii="宋体" w:hAnsi="宋体" w:cs="宋体"/>
                <w:color w:val="000000"/>
                <w:kern w:val="0"/>
                <w:sz w:val="22"/>
                <w:szCs w:val="22"/>
              </w:rPr>
              <w:t>6</w:t>
            </w:r>
          </w:p>
        </w:tc>
        <w:tc>
          <w:tcPr>
            <w:tcW w:w="2289"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2B3BADCD">
            <w:pPr>
              <w:widowControl/>
              <w:textAlignment w:val="center"/>
              <w:rPr>
                <w:rFonts w:ascii="宋体" w:hAnsi="宋体" w:cs="宋体"/>
                <w:color w:val="000000"/>
                <w:kern w:val="0"/>
                <w:sz w:val="22"/>
                <w:szCs w:val="22"/>
                <w:highlight w:val="yellow"/>
              </w:rPr>
            </w:pPr>
          </w:p>
        </w:tc>
      </w:tr>
      <w:tr w14:paraId="212EC33E">
        <w:tblPrEx>
          <w:tblCellMar>
            <w:top w:w="0" w:type="dxa"/>
            <w:left w:w="108" w:type="dxa"/>
            <w:bottom w:w="0" w:type="dxa"/>
            <w:right w:w="108" w:type="dxa"/>
          </w:tblCellMar>
        </w:tblPrEx>
        <w:trPr>
          <w:trHeight w:val="356" w:hRule="atLeast"/>
        </w:trPr>
        <w:tc>
          <w:tcPr>
            <w:tcW w:w="1107" w:type="dxa"/>
            <w:vMerge w:val="continue"/>
            <w:tcBorders>
              <w:left w:val="single" w:color="000000" w:sz="4" w:space="0"/>
              <w:bottom w:val="single" w:color="000000" w:sz="4" w:space="0"/>
              <w:right w:val="single" w:color="000000" w:sz="4" w:space="0"/>
            </w:tcBorders>
            <w:shd w:val="clear" w:color="auto" w:fill="auto"/>
            <w:noWrap/>
            <w:vAlign w:val="center"/>
          </w:tcPr>
          <w:p w14:paraId="46BAF221">
            <w:pPr>
              <w:widowControl/>
              <w:textAlignment w:val="center"/>
              <w:rPr>
                <w:rFonts w:ascii="宋体" w:hAnsi="宋体" w:cs="宋体"/>
                <w:color w:val="000000"/>
                <w:kern w:val="0"/>
                <w:sz w:val="22"/>
                <w:szCs w:val="22"/>
                <w:highlight w:val="yellow"/>
              </w:rPr>
            </w:pPr>
          </w:p>
        </w:tc>
        <w:tc>
          <w:tcPr>
            <w:tcW w:w="1334" w:type="dxa"/>
            <w:vMerge w:val="continue"/>
            <w:tcBorders>
              <w:left w:val="single" w:color="000000" w:sz="4" w:space="0"/>
              <w:bottom w:val="single" w:color="000000" w:sz="4" w:space="0"/>
              <w:right w:val="single" w:color="000000" w:sz="4" w:space="0"/>
            </w:tcBorders>
            <w:shd w:val="clear" w:color="auto" w:fill="auto"/>
            <w:vAlign w:val="center"/>
          </w:tcPr>
          <w:p w14:paraId="2BB3DCF5">
            <w:pPr>
              <w:widowControl/>
              <w:textAlignment w:val="center"/>
              <w:rPr>
                <w:rFonts w:ascii="宋体" w:hAnsi="宋体" w:cs="宋体"/>
                <w:color w:val="000000"/>
                <w:kern w:val="0"/>
                <w:sz w:val="22"/>
                <w:szCs w:val="22"/>
                <w:highlight w:val="yellow"/>
              </w:rPr>
            </w:pPr>
          </w:p>
        </w:tc>
        <w:tc>
          <w:tcPr>
            <w:tcW w:w="1229" w:type="dxa"/>
            <w:vMerge w:val="continue"/>
            <w:tcBorders>
              <w:left w:val="single" w:color="000000" w:sz="4" w:space="0"/>
              <w:bottom w:val="single" w:color="000000" w:sz="4" w:space="0"/>
              <w:right w:val="single" w:color="000000" w:sz="4" w:space="0"/>
            </w:tcBorders>
            <w:shd w:val="clear" w:color="auto" w:fill="auto"/>
            <w:noWrap/>
            <w:vAlign w:val="center"/>
          </w:tcPr>
          <w:p w14:paraId="0BC56DD9">
            <w:pPr>
              <w:widowControl/>
              <w:textAlignment w:val="center"/>
              <w:rPr>
                <w:rFonts w:ascii="宋体" w:hAnsi="宋体" w:cs="宋体"/>
                <w:color w:val="000000"/>
                <w:kern w:val="0"/>
                <w:sz w:val="22"/>
                <w:szCs w:val="22"/>
              </w:rPr>
            </w:pPr>
          </w:p>
        </w:tc>
        <w:tc>
          <w:tcPr>
            <w:tcW w:w="1367"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12221814">
            <w:pPr>
              <w:widowControl/>
              <w:textAlignment w:val="center"/>
              <w:rPr>
                <w:rFonts w:ascii="宋体" w:hAnsi="宋体" w:cs="宋体"/>
                <w:color w:val="000000"/>
                <w:kern w:val="0"/>
                <w:sz w:val="22"/>
                <w:szCs w:val="22"/>
              </w:rPr>
            </w:pPr>
            <w:r>
              <w:rPr>
                <w:rFonts w:hint="eastAsia" w:ascii="宋体" w:hAnsi="宋体" w:cs="宋体"/>
                <w:color w:val="000000"/>
                <w:kern w:val="0"/>
                <w:sz w:val="22"/>
                <w:szCs w:val="22"/>
              </w:rPr>
              <w:t>国家级</w:t>
            </w:r>
          </w:p>
          <w:p w14:paraId="4DAFED6C">
            <w:pPr>
              <w:widowControl/>
              <w:textAlignment w:val="center"/>
              <w:rPr>
                <w:rFonts w:ascii="宋体" w:hAnsi="宋体" w:cs="宋体"/>
                <w:color w:val="000000"/>
                <w:kern w:val="0"/>
                <w:sz w:val="22"/>
                <w:szCs w:val="22"/>
              </w:rPr>
            </w:pPr>
            <w:r>
              <w:rPr>
                <w:rFonts w:hint="eastAsia" w:ascii="宋体" w:hAnsi="宋体" w:cs="宋体"/>
                <w:color w:val="000000"/>
                <w:kern w:val="0"/>
                <w:sz w:val="22"/>
                <w:szCs w:val="22"/>
              </w:rPr>
              <w:t>三等奖</w:t>
            </w:r>
          </w:p>
        </w:tc>
        <w:tc>
          <w:tcPr>
            <w:tcW w:w="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8637FA">
            <w:pPr>
              <w:widowControl/>
              <w:textAlignment w:val="center"/>
              <w:rPr>
                <w:rFonts w:ascii="宋体" w:hAnsi="宋体" w:cs="宋体"/>
                <w:color w:val="000000"/>
                <w:kern w:val="0"/>
                <w:sz w:val="22"/>
                <w:szCs w:val="22"/>
              </w:rPr>
            </w:pPr>
            <w:r>
              <w:rPr>
                <w:rFonts w:ascii="宋体" w:hAnsi="宋体" w:cs="宋体"/>
                <w:color w:val="000000"/>
                <w:kern w:val="0"/>
                <w:sz w:val="22"/>
                <w:szCs w:val="22"/>
              </w:rPr>
              <w:t>5</w:t>
            </w:r>
          </w:p>
        </w:tc>
        <w:tc>
          <w:tcPr>
            <w:tcW w:w="2289" w:type="dxa"/>
            <w:vMerge w:val="continue"/>
            <w:tcBorders>
              <w:left w:val="single" w:color="auto" w:sz="4" w:space="0"/>
              <w:bottom w:val="single" w:color="000000" w:sz="4" w:space="0"/>
              <w:right w:val="single" w:color="000000" w:sz="4" w:space="0"/>
            </w:tcBorders>
            <w:shd w:val="clear" w:color="auto" w:fill="auto"/>
            <w:vAlign w:val="center"/>
          </w:tcPr>
          <w:p w14:paraId="5ED8723D">
            <w:pPr>
              <w:widowControl/>
              <w:textAlignment w:val="center"/>
              <w:rPr>
                <w:rFonts w:ascii="宋体" w:hAnsi="宋体" w:cs="宋体"/>
                <w:color w:val="000000"/>
                <w:kern w:val="0"/>
                <w:sz w:val="22"/>
                <w:szCs w:val="22"/>
                <w:highlight w:val="yellow"/>
              </w:rPr>
            </w:pPr>
          </w:p>
        </w:tc>
      </w:tr>
      <w:tr w14:paraId="1599FE95">
        <w:tblPrEx>
          <w:tblCellMar>
            <w:top w:w="0" w:type="dxa"/>
            <w:left w:w="108" w:type="dxa"/>
            <w:bottom w:w="0" w:type="dxa"/>
            <w:right w:w="108" w:type="dxa"/>
          </w:tblCellMar>
        </w:tblPrEx>
        <w:trPr>
          <w:trHeight w:val="356" w:hRule="atLeast"/>
        </w:trPr>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6E8B1">
            <w:pPr>
              <w:rPr>
                <w:rFonts w:ascii="宋体" w:hAnsi="宋体" w:cs="宋体"/>
                <w:color w:val="000000"/>
                <w:sz w:val="22"/>
                <w:szCs w:val="22"/>
              </w:rPr>
            </w:pPr>
          </w:p>
        </w:tc>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9FC622">
            <w:pPr>
              <w:rPr>
                <w:rFonts w:ascii="宋体" w:hAnsi="宋体" w:cs="宋体"/>
                <w:color w:val="000000"/>
                <w:sz w:val="22"/>
                <w:szCs w:val="22"/>
              </w:rPr>
            </w:pPr>
          </w:p>
        </w:tc>
        <w:tc>
          <w:tcPr>
            <w:tcW w:w="1229" w:type="dxa"/>
            <w:vMerge w:val="restart"/>
            <w:tcBorders>
              <w:top w:val="single" w:color="000000" w:sz="4" w:space="0"/>
              <w:left w:val="single" w:color="000000" w:sz="4" w:space="0"/>
              <w:right w:val="single" w:color="000000" w:sz="4" w:space="0"/>
            </w:tcBorders>
            <w:shd w:val="clear" w:color="auto" w:fill="auto"/>
            <w:noWrap/>
            <w:vAlign w:val="center"/>
          </w:tcPr>
          <w:p w14:paraId="76717C88">
            <w:pPr>
              <w:widowControl/>
              <w:textAlignment w:val="center"/>
              <w:rPr>
                <w:rFonts w:ascii="宋体" w:hAnsi="宋体" w:cs="宋体"/>
                <w:color w:val="000000"/>
                <w:sz w:val="22"/>
                <w:szCs w:val="22"/>
              </w:rPr>
            </w:pPr>
            <w:r>
              <w:rPr>
                <w:rFonts w:hint="eastAsia" w:ascii="宋体" w:hAnsi="宋体" w:cs="宋体"/>
                <w:color w:val="000000"/>
                <w:sz w:val="22"/>
                <w:szCs w:val="22"/>
              </w:rPr>
              <w:t>B类</w:t>
            </w:r>
          </w:p>
          <w:p w14:paraId="5FCC7A54">
            <w:pPr>
              <w:widowControl/>
              <w:textAlignment w:val="center"/>
              <w:rPr>
                <w:rFonts w:ascii="宋体" w:hAnsi="宋体" w:cs="宋体"/>
                <w:color w:val="000000"/>
                <w:sz w:val="22"/>
                <w:szCs w:val="22"/>
              </w:rPr>
            </w:pPr>
            <w:r>
              <w:rPr>
                <w:rFonts w:hint="eastAsia" w:ascii="宋体" w:hAnsi="宋体" w:cs="宋体"/>
                <w:color w:val="000000"/>
                <w:sz w:val="22"/>
                <w:szCs w:val="22"/>
              </w:rPr>
              <w:t>竞赛</w:t>
            </w:r>
          </w:p>
        </w:tc>
        <w:tc>
          <w:tcPr>
            <w:tcW w:w="1367"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274659EC">
            <w:pPr>
              <w:widowControl/>
              <w:textAlignment w:val="center"/>
              <w:rPr>
                <w:rFonts w:ascii="宋体" w:hAnsi="宋体" w:cs="宋体"/>
                <w:color w:val="000000"/>
                <w:kern w:val="0"/>
                <w:sz w:val="22"/>
                <w:szCs w:val="22"/>
              </w:rPr>
            </w:pPr>
            <w:r>
              <w:rPr>
                <w:rFonts w:hint="eastAsia" w:ascii="宋体" w:hAnsi="宋体" w:cs="宋体"/>
                <w:color w:val="000000"/>
                <w:kern w:val="0"/>
                <w:sz w:val="22"/>
                <w:szCs w:val="22"/>
              </w:rPr>
              <w:t>国家级</w:t>
            </w:r>
          </w:p>
          <w:p w14:paraId="368D99D8">
            <w:pPr>
              <w:widowControl/>
              <w:textAlignment w:val="center"/>
              <w:rPr>
                <w:rFonts w:ascii="宋体" w:hAnsi="宋体" w:cs="宋体"/>
                <w:color w:val="000000"/>
                <w:kern w:val="0"/>
                <w:sz w:val="22"/>
                <w:szCs w:val="22"/>
              </w:rPr>
            </w:pPr>
            <w:r>
              <w:rPr>
                <w:rFonts w:hint="eastAsia" w:ascii="宋体" w:hAnsi="宋体" w:cs="宋体"/>
                <w:color w:val="000000"/>
                <w:kern w:val="0"/>
                <w:sz w:val="22"/>
                <w:szCs w:val="22"/>
              </w:rPr>
              <w:t>一等奖</w:t>
            </w:r>
          </w:p>
        </w:tc>
        <w:tc>
          <w:tcPr>
            <w:tcW w:w="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8E557C">
            <w:pPr>
              <w:widowControl/>
              <w:textAlignment w:val="center"/>
              <w:rPr>
                <w:rFonts w:ascii="宋体" w:hAnsi="宋体" w:cs="宋体"/>
                <w:color w:val="000000"/>
                <w:sz w:val="22"/>
                <w:szCs w:val="22"/>
              </w:rPr>
            </w:pPr>
            <w:r>
              <w:rPr>
                <w:rFonts w:ascii="宋体" w:hAnsi="宋体" w:cs="宋体"/>
                <w:color w:val="000000"/>
                <w:kern w:val="0"/>
                <w:sz w:val="22"/>
                <w:szCs w:val="22"/>
              </w:rPr>
              <w:t>6</w:t>
            </w:r>
          </w:p>
        </w:tc>
        <w:tc>
          <w:tcPr>
            <w:tcW w:w="2289"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1B255BC1">
            <w:pPr>
              <w:rPr>
                <w:rFonts w:ascii="宋体" w:hAnsi="宋体" w:cs="宋体"/>
                <w:color w:val="000000"/>
                <w:sz w:val="22"/>
                <w:szCs w:val="22"/>
              </w:rPr>
            </w:pPr>
          </w:p>
        </w:tc>
      </w:tr>
      <w:tr w14:paraId="186F027C">
        <w:tblPrEx>
          <w:tblCellMar>
            <w:top w:w="0" w:type="dxa"/>
            <w:left w:w="108" w:type="dxa"/>
            <w:bottom w:w="0" w:type="dxa"/>
            <w:right w:w="108" w:type="dxa"/>
          </w:tblCellMar>
        </w:tblPrEx>
        <w:trPr>
          <w:trHeight w:val="356" w:hRule="atLeast"/>
        </w:trPr>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4EE7B">
            <w:pPr>
              <w:widowControl/>
              <w:textAlignment w:val="center"/>
            </w:pPr>
          </w:p>
        </w:tc>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E3D41D">
            <w:pPr>
              <w:widowControl/>
              <w:textAlignment w:val="center"/>
            </w:pPr>
          </w:p>
        </w:tc>
        <w:tc>
          <w:tcPr>
            <w:tcW w:w="1229" w:type="dxa"/>
            <w:vMerge w:val="continue"/>
            <w:tcBorders>
              <w:left w:val="single" w:color="000000" w:sz="4" w:space="0"/>
              <w:right w:val="single" w:color="000000" w:sz="4" w:space="0"/>
            </w:tcBorders>
            <w:shd w:val="clear" w:color="auto" w:fill="auto"/>
            <w:noWrap/>
            <w:vAlign w:val="center"/>
          </w:tcPr>
          <w:p w14:paraId="2767589A">
            <w:pPr>
              <w:widowControl/>
              <w:textAlignment w:val="center"/>
            </w:pPr>
          </w:p>
        </w:tc>
        <w:tc>
          <w:tcPr>
            <w:tcW w:w="1367"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1E9178E2">
            <w:pPr>
              <w:widowControl/>
              <w:textAlignment w:val="center"/>
              <w:rPr>
                <w:rFonts w:ascii="宋体" w:hAnsi="宋体" w:cs="宋体"/>
                <w:color w:val="000000"/>
                <w:kern w:val="0"/>
                <w:sz w:val="22"/>
                <w:szCs w:val="22"/>
              </w:rPr>
            </w:pPr>
            <w:r>
              <w:rPr>
                <w:rFonts w:hint="eastAsia" w:ascii="宋体" w:hAnsi="宋体" w:cs="宋体"/>
                <w:color w:val="000000"/>
                <w:kern w:val="0"/>
                <w:sz w:val="22"/>
                <w:szCs w:val="22"/>
              </w:rPr>
              <w:t>国家级</w:t>
            </w:r>
          </w:p>
          <w:p w14:paraId="677730AB">
            <w:pPr>
              <w:widowControl/>
              <w:textAlignment w:val="center"/>
              <w:rPr>
                <w:rFonts w:ascii="宋体" w:hAnsi="宋体" w:cs="宋体"/>
                <w:color w:val="000000"/>
                <w:kern w:val="0"/>
                <w:sz w:val="22"/>
                <w:szCs w:val="22"/>
              </w:rPr>
            </w:pPr>
            <w:r>
              <w:rPr>
                <w:rFonts w:hint="eastAsia" w:ascii="宋体" w:hAnsi="宋体" w:cs="宋体"/>
                <w:color w:val="000000"/>
                <w:kern w:val="0"/>
                <w:sz w:val="22"/>
                <w:szCs w:val="22"/>
              </w:rPr>
              <w:t>二等奖</w:t>
            </w:r>
          </w:p>
        </w:tc>
        <w:tc>
          <w:tcPr>
            <w:tcW w:w="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726E30">
            <w:pPr>
              <w:widowControl/>
              <w:textAlignment w:val="center"/>
              <w:rPr>
                <w:rFonts w:ascii="宋体" w:hAnsi="宋体" w:cs="宋体"/>
                <w:color w:val="000000"/>
                <w:kern w:val="0"/>
                <w:sz w:val="22"/>
                <w:szCs w:val="22"/>
              </w:rPr>
            </w:pPr>
            <w:r>
              <w:rPr>
                <w:rFonts w:ascii="宋体" w:hAnsi="宋体" w:cs="宋体"/>
                <w:color w:val="000000"/>
                <w:kern w:val="0"/>
                <w:sz w:val="22"/>
                <w:szCs w:val="22"/>
              </w:rPr>
              <w:t>5</w:t>
            </w:r>
          </w:p>
        </w:tc>
        <w:tc>
          <w:tcPr>
            <w:tcW w:w="2289"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12EE9A88">
            <w:pPr>
              <w:widowControl/>
              <w:textAlignment w:val="center"/>
              <w:rPr>
                <w:rFonts w:ascii="宋体" w:hAnsi="宋体" w:cs="宋体"/>
                <w:color w:val="000000"/>
                <w:kern w:val="0"/>
                <w:sz w:val="22"/>
                <w:szCs w:val="22"/>
                <w:highlight w:val="yellow"/>
              </w:rPr>
            </w:pPr>
          </w:p>
        </w:tc>
      </w:tr>
      <w:tr w14:paraId="574C9247">
        <w:tblPrEx>
          <w:tblCellMar>
            <w:top w:w="0" w:type="dxa"/>
            <w:left w:w="108" w:type="dxa"/>
            <w:bottom w:w="0" w:type="dxa"/>
            <w:right w:w="108" w:type="dxa"/>
          </w:tblCellMar>
        </w:tblPrEx>
        <w:trPr>
          <w:trHeight w:val="356" w:hRule="atLeast"/>
        </w:trPr>
        <w:tc>
          <w:tcPr>
            <w:tcW w:w="1107" w:type="dxa"/>
            <w:vMerge w:val="continue"/>
            <w:tcBorders>
              <w:left w:val="single" w:color="000000" w:sz="4" w:space="0"/>
              <w:bottom w:val="single" w:color="000000" w:sz="4" w:space="0"/>
              <w:right w:val="single" w:color="000000" w:sz="4" w:space="0"/>
            </w:tcBorders>
            <w:shd w:val="clear" w:color="auto" w:fill="auto"/>
            <w:noWrap/>
            <w:vAlign w:val="center"/>
          </w:tcPr>
          <w:p w14:paraId="6961A8F9">
            <w:pPr>
              <w:widowControl/>
              <w:textAlignment w:val="center"/>
              <w:rPr>
                <w:rFonts w:ascii="宋体" w:hAnsi="宋体" w:cs="宋体"/>
                <w:color w:val="000000"/>
                <w:kern w:val="0"/>
                <w:sz w:val="22"/>
                <w:szCs w:val="22"/>
                <w:highlight w:val="yellow"/>
              </w:rPr>
            </w:pPr>
          </w:p>
        </w:tc>
        <w:tc>
          <w:tcPr>
            <w:tcW w:w="1334" w:type="dxa"/>
            <w:vMerge w:val="continue"/>
            <w:tcBorders>
              <w:left w:val="single" w:color="000000" w:sz="4" w:space="0"/>
              <w:bottom w:val="single" w:color="000000" w:sz="4" w:space="0"/>
              <w:right w:val="single" w:color="000000" w:sz="4" w:space="0"/>
            </w:tcBorders>
            <w:shd w:val="clear" w:color="auto" w:fill="auto"/>
            <w:vAlign w:val="center"/>
          </w:tcPr>
          <w:p w14:paraId="4CAA210B">
            <w:pPr>
              <w:widowControl/>
              <w:textAlignment w:val="center"/>
              <w:rPr>
                <w:rFonts w:ascii="宋体" w:hAnsi="宋体" w:cs="宋体"/>
                <w:color w:val="000000"/>
                <w:kern w:val="0"/>
                <w:sz w:val="22"/>
                <w:szCs w:val="22"/>
                <w:highlight w:val="yellow"/>
              </w:rPr>
            </w:pPr>
          </w:p>
        </w:tc>
        <w:tc>
          <w:tcPr>
            <w:tcW w:w="1229" w:type="dxa"/>
            <w:vMerge w:val="continue"/>
            <w:tcBorders>
              <w:left w:val="single" w:color="000000" w:sz="4" w:space="0"/>
              <w:bottom w:val="single" w:color="000000" w:sz="4" w:space="0"/>
              <w:right w:val="single" w:color="000000" w:sz="4" w:space="0"/>
            </w:tcBorders>
            <w:shd w:val="clear" w:color="auto" w:fill="auto"/>
            <w:noWrap/>
            <w:vAlign w:val="center"/>
          </w:tcPr>
          <w:p w14:paraId="2045001C">
            <w:pPr>
              <w:widowControl/>
              <w:textAlignment w:val="center"/>
              <w:rPr>
                <w:rFonts w:ascii="宋体" w:hAnsi="宋体" w:cs="宋体"/>
                <w:color w:val="000000"/>
                <w:kern w:val="0"/>
                <w:sz w:val="22"/>
                <w:szCs w:val="22"/>
              </w:rPr>
            </w:pPr>
          </w:p>
        </w:tc>
        <w:tc>
          <w:tcPr>
            <w:tcW w:w="1367"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2AF1418F">
            <w:pPr>
              <w:widowControl/>
              <w:textAlignment w:val="center"/>
              <w:rPr>
                <w:rFonts w:ascii="宋体" w:hAnsi="宋体" w:cs="宋体"/>
                <w:color w:val="000000"/>
                <w:kern w:val="0"/>
                <w:sz w:val="22"/>
                <w:szCs w:val="22"/>
              </w:rPr>
            </w:pPr>
            <w:r>
              <w:rPr>
                <w:rFonts w:hint="eastAsia" w:ascii="宋体" w:hAnsi="宋体" w:cs="宋体"/>
                <w:color w:val="000000"/>
                <w:kern w:val="0"/>
                <w:sz w:val="22"/>
                <w:szCs w:val="22"/>
              </w:rPr>
              <w:t>国家级</w:t>
            </w:r>
          </w:p>
          <w:p w14:paraId="09CE72A2">
            <w:pPr>
              <w:widowControl/>
              <w:textAlignment w:val="center"/>
              <w:rPr>
                <w:rFonts w:ascii="宋体" w:hAnsi="宋体" w:cs="宋体"/>
                <w:color w:val="000000"/>
                <w:kern w:val="0"/>
                <w:sz w:val="22"/>
                <w:szCs w:val="22"/>
              </w:rPr>
            </w:pPr>
            <w:r>
              <w:rPr>
                <w:rFonts w:hint="eastAsia" w:ascii="宋体" w:hAnsi="宋体" w:cs="宋体"/>
                <w:color w:val="000000"/>
                <w:kern w:val="0"/>
                <w:sz w:val="22"/>
                <w:szCs w:val="22"/>
              </w:rPr>
              <w:t>三等奖</w:t>
            </w:r>
          </w:p>
        </w:tc>
        <w:tc>
          <w:tcPr>
            <w:tcW w:w="7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F8CE00">
            <w:pPr>
              <w:widowControl/>
              <w:textAlignment w:val="center"/>
              <w:rPr>
                <w:rFonts w:ascii="宋体" w:hAnsi="宋体" w:cs="宋体"/>
                <w:color w:val="000000"/>
                <w:kern w:val="0"/>
                <w:sz w:val="22"/>
                <w:szCs w:val="22"/>
              </w:rPr>
            </w:pPr>
            <w:r>
              <w:rPr>
                <w:rFonts w:ascii="宋体" w:hAnsi="宋体" w:cs="宋体"/>
                <w:color w:val="000000"/>
                <w:kern w:val="0"/>
                <w:sz w:val="22"/>
                <w:szCs w:val="22"/>
              </w:rPr>
              <w:t>4</w:t>
            </w:r>
          </w:p>
        </w:tc>
        <w:tc>
          <w:tcPr>
            <w:tcW w:w="2289" w:type="dxa"/>
            <w:vMerge w:val="continue"/>
            <w:tcBorders>
              <w:left w:val="single" w:color="auto" w:sz="4" w:space="0"/>
              <w:bottom w:val="single" w:color="000000" w:sz="4" w:space="0"/>
              <w:right w:val="single" w:color="000000" w:sz="4" w:space="0"/>
            </w:tcBorders>
            <w:shd w:val="clear" w:color="auto" w:fill="auto"/>
            <w:vAlign w:val="center"/>
          </w:tcPr>
          <w:p w14:paraId="01F8724E">
            <w:pPr>
              <w:widowControl/>
              <w:textAlignment w:val="center"/>
              <w:rPr>
                <w:rFonts w:ascii="宋体" w:hAnsi="宋体" w:cs="宋体"/>
                <w:color w:val="000000"/>
                <w:kern w:val="0"/>
                <w:sz w:val="22"/>
                <w:szCs w:val="22"/>
                <w:highlight w:val="yellow"/>
              </w:rPr>
            </w:pPr>
          </w:p>
        </w:tc>
      </w:tr>
      <w:tr w14:paraId="20B2A2F1">
        <w:tblPrEx>
          <w:tblCellMar>
            <w:top w:w="0" w:type="dxa"/>
            <w:left w:w="108" w:type="dxa"/>
            <w:bottom w:w="0" w:type="dxa"/>
            <w:right w:w="108" w:type="dxa"/>
          </w:tblCellMar>
        </w:tblPrEx>
        <w:trPr>
          <w:trHeight w:val="270" w:hRule="atLeast"/>
        </w:trPr>
        <w:tc>
          <w:tcPr>
            <w:tcW w:w="11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205DFC">
            <w:pPr>
              <w:widowControl/>
              <w:textAlignment w:val="center"/>
              <w:rPr>
                <w:rFonts w:ascii="宋体" w:hAnsi="宋体" w:cs="宋体"/>
                <w:color w:val="000000"/>
                <w:sz w:val="22"/>
                <w:szCs w:val="22"/>
              </w:rPr>
            </w:pPr>
            <w:r>
              <w:rPr>
                <w:rFonts w:hint="eastAsia" w:ascii="宋体" w:hAnsi="宋体" w:cs="宋体"/>
                <w:color w:val="000000"/>
                <w:kern w:val="0"/>
                <w:sz w:val="22"/>
                <w:szCs w:val="22"/>
              </w:rPr>
              <w:t>学生参军入伍服兵役</w:t>
            </w:r>
          </w:p>
        </w:tc>
        <w:tc>
          <w:tcPr>
            <w:tcW w:w="133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0F230">
            <w:pPr>
              <w:widowControl/>
              <w:textAlignment w:val="center"/>
              <w:rPr>
                <w:rFonts w:ascii="宋体" w:hAnsi="宋体" w:cs="宋体"/>
                <w:color w:val="000000"/>
                <w:sz w:val="22"/>
                <w:szCs w:val="22"/>
              </w:rPr>
            </w:pPr>
            <w:r>
              <w:rPr>
                <w:rFonts w:hint="eastAsia" w:ascii="宋体" w:hAnsi="宋体" w:cs="宋体"/>
                <w:color w:val="000000"/>
                <w:kern w:val="0"/>
                <w:sz w:val="22"/>
                <w:szCs w:val="22"/>
              </w:rPr>
              <w:t>军功</w:t>
            </w:r>
          </w:p>
        </w:tc>
        <w:tc>
          <w:tcPr>
            <w:tcW w:w="25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DBB11">
            <w:pPr>
              <w:widowControl/>
              <w:textAlignment w:val="center"/>
              <w:rPr>
                <w:rFonts w:ascii="宋体" w:hAnsi="宋体" w:cs="宋体"/>
                <w:color w:val="000000"/>
                <w:sz w:val="22"/>
                <w:szCs w:val="22"/>
              </w:rPr>
            </w:pPr>
            <w:r>
              <w:rPr>
                <w:rFonts w:hint="eastAsia" w:ascii="宋体" w:hAnsi="宋体" w:cs="宋体"/>
                <w:color w:val="000000"/>
                <w:kern w:val="0"/>
                <w:sz w:val="22"/>
                <w:szCs w:val="22"/>
              </w:rPr>
              <w:t>一等功</w:t>
            </w:r>
          </w:p>
        </w:tc>
        <w:tc>
          <w:tcPr>
            <w:tcW w:w="767"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0E24CA1B">
            <w:pPr>
              <w:rPr>
                <w:rFonts w:ascii="宋体" w:hAnsi="宋体" w:cs="宋体"/>
                <w:color w:val="000000"/>
                <w:sz w:val="22"/>
                <w:szCs w:val="22"/>
              </w:rPr>
            </w:pPr>
            <w:r>
              <w:rPr>
                <w:rFonts w:ascii="宋体" w:hAnsi="宋体" w:cs="宋体"/>
                <w:color w:val="000000"/>
                <w:sz w:val="22"/>
                <w:szCs w:val="22"/>
              </w:rPr>
              <w:t>15</w:t>
            </w:r>
          </w:p>
        </w:tc>
        <w:tc>
          <w:tcPr>
            <w:tcW w:w="22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16F58">
            <w:pPr>
              <w:rPr>
                <w:rFonts w:ascii="宋体" w:hAnsi="宋体" w:cs="宋体"/>
                <w:color w:val="000000"/>
                <w:sz w:val="22"/>
                <w:szCs w:val="22"/>
              </w:rPr>
            </w:pPr>
          </w:p>
        </w:tc>
      </w:tr>
      <w:tr w14:paraId="6A0AAC0D">
        <w:tblPrEx>
          <w:tblCellMar>
            <w:top w:w="0" w:type="dxa"/>
            <w:left w:w="108" w:type="dxa"/>
            <w:bottom w:w="0" w:type="dxa"/>
            <w:right w:w="108" w:type="dxa"/>
          </w:tblCellMar>
        </w:tblPrEx>
        <w:trPr>
          <w:trHeight w:val="270" w:hRule="atLeast"/>
        </w:trPr>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B5E135">
            <w:pPr>
              <w:rPr>
                <w:rFonts w:ascii="宋体" w:hAnsi="宋体" w:cs="宋体"/>
                <w:color w:val="000000"/>
                <w:sz w:val="22"/>
                <w:szCs w:val="22"/>
              </w:rPr>
            </w:pPr>
          </w:p>
        </w:tc>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A84E9">
            <w:pPr>
              <w:rPr>
                <w:rFonts w:ascii="宋体" w:hAnsi="宋体" w:cs="宋体"/>
                <w:color w:val="000000"/>
                <w:sz w:val="22"/>
                <w:szCs w:val="22"/>
              </w:rPr>
            </w:pPr>
          </w:p>
        </w:tc>
        <w:tc>
          <w:tcPr>
            <w:tcW w:w="25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BFEEF">
            <w:pPr>
              <w:widowControl/>
              <w:textAlignment w:val="center"/>
              <w:rPr>
                <w:rFonts w:ascii="宋体" w:hAnsi="宋体" w:cs="宋体"/>
                <w:color w:val="000000"/>
                <w:sz w:val="22"/>
                <w:szCs w:val="22"/>
              </w:rPr>
            </w:pPr>
            <w:r>
              <w:rPr>
                <w:rFonts w:hint="eastAsia" w:ascii="宋体" w:hAnsi="宋体" w:cs="宋体"/>
                <w:color w:val="000000"/>
                <w:kern w:val="0"/>
                <w:sz w:val="22"/>
                <w:szCs w:val="22"/>
              </w:rPr>
              <w:t>二等功</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0F058">
            <w:pPr>
              <w:rPr>
                <w:rFonts w:ascii="宋体" w:hAnsi="宋体" w:cs="宋体"/>
                <w:color w:val="000000"/>
                <w:sz w:val="22"/>
                <w:szCs w:val="22"/>
              </w:rPr>
            </w:pPr>
            <w:r>
              <w:rPr>
                <w:rFonts w:ascii="宋体" w:hAnsi="宋体" w:cs="宋体"/>
                <w:color w:val="000000"/>
                <w:sz w:val="22"/>
                <w:szCs w:val="22"/>
              </w:rPr>
              <w:t>10</w:t>
            </w:r>
          </w:p>
        </w:tc>
        <w:tc>
          <w:tcPr>
            <w:tcW w:w="22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729E4">
            <w:pPr>
              <w:rPr>
                <w:rFonts w:ascii="宋体" w:hAnsi="宋体" w:cs="宋体"/>
                <w:color w:val="000000"/>
                <w:sz w:val="22"/>
                <w:szCs w:val="22"/>
              </w:rPr>
            </w:pPr>
          </w:p>
        </w:tc>
      </w:tr>
      <w:tr w14:paraId="754887A0">
        <w:tblPrEx>
          <w:tblCellMar>
            <w:top w:w="0" w:type="dxa"/>
            <w:left w:w="108" w:type="dxa"/>
            <w:bottom w:w="0" w:type="dxa"/>
            <w:right w:w="108" w:type="dxa"/>
          </w:tblCellMar>
        </w:tblPrEx>
        <w:trPr>
          <w:trHeight w:val="270" w:hRule="atLeast"/>
        </w:trPr>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CE8035">
            <w:pPr>
              <w:rPr>
                <w:rFonts w:ascii="宋体" w:hAnsi="宋体" w:cs="宋体"/>
                <w:color w:val="000000"/>
                <w:sz w:val="22"/>
                <w:szCs w:val="22"/>
              </w:rPr>
            </w:pPr>
          </w:p>
        </w:tc>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03016">
            <w:pPr>
              <w:rPr>
                <w:rFonts w:ascii="宋体" w:hAnsi="宋体" w:cs="宋体"/>
                <w:color w:val="000000"/>
                <w:sz w:val="22"/>
                <w:szCs w:val="22"/>
              </w:rPr>
            </w:pPr>
          </w:p>
        </w:tc>
        <w:tc>
          <w:tcPr>
            <w:tcW w:w="25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9CDD5">
            <w:pPr>
              <w:widowControl/>
              <w:textAlignment w:val="center"/>
              <w:rPr>
                <w:rFonts w:ascii="宋体" w:hAnsi="宋体" w:cs="宋体"/>
                <w:sz w:val="22"/>
                <w:szCs w:val="22"/>
              </w:rPr>
            </w:pPr>
            <w:r>
              <w:rPr>
                <w:rFonts w:hint="eastAsia" w:ascii="宋体" w:hAnsi="宋体" w:cs="宋体"/>
                <w:kern w:val="0"/>
                <w:sz w:val="22"/>
                <w:szCs w:val="22"/>
              </w:rPr>
              <w:t>三等功</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806B1">
            <w:pPr>
              <w:rPr>
                <w:rFonts w:ascii="宋体" w:hAnsi="宋体" w:cs="宋体"/>
                <w:color w:val="000000"/>
                <w:sz w:val="22"/>
                <w:szCs w:val="22"/>
              </w:rPr>
            </w:pPr>
            <w:r>
              <w:rPr>
                <w:rFonts w:ascii="宋体" w:hAnsi="宋体" w:cs="宋体"/>
                <w:color w:val="000000"/>
                <w:sz w:val="22"/>
                <w:szCs w:val="22"/>
              </w:rPr>
              <w:t>8</w:t>
            </w:r>
          </w:p>
        </w:tc>
        <w:tc>
          <w:tcPr>
            <w:tcW w:w="22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565AE">
            <w:pPr>
              <w:rPr>
                <w:rFonts w:ascii="宋体" w:hAnsi="宋体" w:cs="宋体"/>
                <w:color w:val="000000"/>
                <w:sz w:val="22"/>
                <w:szCs w:val="22"/>
              </w:rPr>
            </w:pPr>
          </w:p>
        </w:tc>
      </w:tr>
      <w:tr w14:paraId="68413670">
        <w:tblPrEx>
          <w:tblCellMar>
            <w:top w:w="0" w:type="dxa"/>
            <w:left w:w="108" w:type="dxa"/>
            <w:bottom w:w="0" w:type="dxa"/>
            <w:right w:w="108" w:type="dxa"/>
          </w:tblCellMar>
        </w:tblPrEx>
        <w:trPr>
          <w:trHeight w:val="270" w:hRule="atLeast"/>
        </w:trPr>
        <w:tc>
          <w:tcPr>
            <w:tcW w:w="2441" w:type="dxa"/>
            <w:gridSpan w:val="2"/>
            <w:vMerge w:val="restart"/>
            <w:tcBorders>
              <w:top w:val="single" w:color="000000" w:sz="4" w:space="0"/>
              <w:left w:val="single" w:color="000000" w:sz="4" w:space="0"/>
              <w:right w:val="single" w:color="000000" w:sz="4" w:space="0"/>
            </w:tcBorders>
            <w:shd w:val="clear" w:color="auto" w:fill="auto"/>
            <w:noWrap/>
            <w:vAlign w:val="center"/>
          </w:tcPr>
          <w:p w14:paraId="065DE1CC">
            <w:pPr>
              <w:widowControl/>
              <w:textAlignment w:val="center"/>
              <w:rPr>
                <w:rFonts w:ascii="宋体" w:hAnsi="宋体" w:cs="宋体"/>
                <w:color w:val="000000"/>
                <w:sz w:val="22"/>
                <w:szCs w:val="22"/>
              </w:rPr>
            </w:pPr>
            <w:r>
              <w:rPr>
                <w:rFonts w:hint="eastAsia" w:ascii="宋体" w:hAnsi="宋体" w:cs="宋体"/>
                <w:color w:val="000000"/>
                <w:kern w:val="0"/>
                <w:sz w:val="22"/>
                <w:szCs w:val="22"/>
              </w:rPr>
              <w:t>参加志愿服务</w:t>
            </w:r>
          </w:p>
        </w:tc>
        <w:tc>
          <w:tcPr>
            <w:tcW w:w="25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152A0">
            <w:pPr>
              <w:widowControl/>
              <w:textAlignment w:val="center"/>
              <w:rPr>
                <w:rFonts w:ascii="宋体" w:hAnsi="宋体" w:cs="宋体"/>
                <w:sz w:val="22"/>
                <w:szCs w:val="22"/>
              </w:rPr>
            </w:pPr>
            <w:r>
              <w:rPr>
                <w:rFonts w:hint="eastAsia" w:ascii="宋体" w:hAnsi="宋体" w:cs="宋体"/>
                <w:kern w:val="0"/>
                <w:sz w:val="22"/>
                <w:szCs w:val="22"/>
              </w:rPr>
              <w:t>五星志愿者</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1F0FD">
            <w:pPr>
              <w:rPr>
                <w:rFonts w:ascii="宋体" w:hAnsi="宋体" w:cs="宋体"/>
                <w:color w:val="000000"/>
                <w:sz w:val="22"/>
                <w:szCs w:val="22"/>
              </w:rPr>
            </w:pPr>
            <w:r>
              <w:rPr>
                <w:rFonts w:hint="eastAsia" w:ascii="宋体" w:hAnsi="宋体" w:cs="宋体"/>
                <w:color w:val="000000"/>
                <w:sz w:val="22"/>
                <w:szCs w:val="22"/>
              </w:rPr>
              <w:t>5</w:t>
            </w:r>
          </w:p>
        </w:tc>
        <w:tc>
          <w:tcPr>
            <w:tcW w:w="22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E1C6B">
            <w:pPr>
              <w:rPr>
                <w:rFonts w:ascii="宋体" w:hAnsi="宋体" w:cs="宋体"/>
                <w:color w:val="000000"/>
                <w:sz w:val="22"/>
                <w:szCs w:val="22"/>
              </w:rPr>
            </w:pPr>
            <w:r>
              <w:rPr>
                <w:rFonts w:hint="eastAsia" w:ascii="宋体" w:hAnsi="宋体" w:cs="宋体"/>
                <w:color w:val="000000"/>
                <w:sz w:val="22"/>
                <w:szCs w:val="22"/>
              </w:rPr>
              <w:t>1500小时</w:t>
            </w:r>
          </w:p>
        </w:tc>
      </w:tr>
      <w:tr w14:paraId="2A6F6424">
        <w:tblPrEx>
          <w:tblCellMar>
            <w:top w:w="0" w:type="dxa"/>
            <w:left w:w="108" w:type="dxa"/>
            <w:bottom w:w="0" w:type="dxa"/>
            <w:right w:w="108" w:type="dxa"/>
          </w:tblCellMar>
        </w:tblPrEx>
        <w:trPr>
          <w:trHeight w:val="270" w:hRule="atLeast"/>
        </w:trPr>
        <w:tc>
          <w:tcPr>
            <w:tcW w:w="2441" w:type="dxa"/>
            <w:gridSpan w:val="2"/>
            <w:vMerge w:val="continue"/>
            <w:tcBorders>
              <w:left w:val="single" w:color="000000" w:sz="4" w:space="0"/>
              <w:right w:val="single" w:color="000000" w:sz="4" w:space="0"/>
            </w:tcBorders>
            <w:shd w:val="clear" w:color="auto" w:fill="auto"/>
            <w:noWrap/>
            <w:vAlign w:val="center"/>
          </w:tcPr>
          <w:p w14:paraId="335FEB4C">
            <w:pPr>
              <w:rPr>
                <w:rFonts w:ascii="宋体" w:hAnsi="宋体" w:cs="宋体"/>
                <w:color w:val="000000"/>
                <w:sz w:val="22"/>
                <w:szCs w:val="22"/>
              </w:rPr>
            </w:pPr>
          </w:p>
        </w:tc>
        <w:tc>
          <w:tcPr>
            <w:tcW w:w="25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0DC5A">
            <w:pPr>
              <w:widowControl/>
              <w:textAlignment w:val="center"/>
              <w:rPr>
                <w:rFonts w:ascii="宋体" w:hAnsi="宋体" w:cs="宋体"/>
                <w:sz w:val="22"/>
                <w:szCs w:val="22"/>
              </w:rPr>
            </w:pPr>
            <w:r>
              <w:rPr>
                <w:rFonts w:hint="eastAsia" w:ascii="宋体" w:hAnsi="宋体" w:cs="宋体"/>
                <w:kern w:val="0"/>
                <w:sz w:val="22"/>
                <w:szCs w:val="22"/>
              </w:rPr>
              <w:t>四星志愿者</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8627E">
            <w:pPr>
              <w:rPr>
                <w:rFonts w:ascii="宋体" w:hAnsi="宋体" w:cs="宋体"/>
                <w:color w:val="000000"/>
                <w:sz w:val="22"/>
                <w:szCs w:val="22"/>
              </w:rPr>
            </w:pPr>
            <w:r>
              <w:rPr>
                <w:rFonts w:hint="eastAsia" w:ascii="宋体" w:hAnsi="宋体" w:cs="宋体"/>
                <w:color w:val="000000"/>
                <w:sz w:val="22"/>
                <w:szCs w:val="22"/>
              </w:rPr>
              <w:t>4</w:t>
            </w:r>
          </w:p>
        </w:tc>
        <w:tc>
          <w:tcPr>
            <w:tcW w:w="22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4F427">
            <w:pPr>
              <w:rPr>
                <w:rFonts w:ascii="宋体" w:hAnsi="宋体" w:cs="宋体"/>
                <w:color w:val="000000"/>
                <w:sz w:val="22"/>
                <w:szCs w:val="22"/>
              </w:rPr>
            </w:pPr>
            <w:r>
              <w:rPr>
                <w:rFonts w:hint="eastAsia" w:ascii="宋体" w:hAnsi="宋体" w:cs="宋体"/>
                <w:color w:val="000000"/>
                <w:sz w:val="22"/>
                <w:szCs w:val="22"/>
              </w:rPr>
              <w:t>1000小时</w:t>
            </w:r>
          </w:p>
        </w:tc>
      </w:tr>
      <w:tr w14:paraId="7DBD4D6F">
        <w:tblPrEx>
          <w:tblCellMar>
            <w:top w:w="0" w:type="dxa"/>
            <w:left w:w="108" w:type="dxa"/>
            <w:bottom w:w="0" w:type="dxa"/>
            <w:right w:w="108" w:type="dxa"/>
          </w:tblCellMar>
        </w:tblPrEx>
        <w:trPr>
          <w:trHeight w:val="270" w:hRule="atLeast"/>
        </w:trPr>
        <w:tc>
          <w:tcPr>
            <w:tcW w:w="2441" w:type="dxa"/>
            <w:gridSpan w:val="2"/>
            <w:vMerge w:val="continue"/>
            <w:tcBorders>
              <w:left w:val="single" w:color="000000" w:sz="4" w:space="0"/>
              <w:right w:val="single" w:color="000000" w:sz="4" w:space="0"/>
            </w:tcBorders>
            <w:shd w:val="clear" w:color="auto" w:fill="auto"/>
            <w:noWrap/>
            <w:vAlign w:val="center"/>
          </w:tcPr>
          <w:p w14:paraId="1B273C6A">
            <w:pPr>
              <w:rPr>
                <w:rFonts w:ascii="宋体" w:hAnsi="宋体" w:cs="宋体"/>
                <w:color w:val="000000"/>
                <w:sz w:val="22"/>
                <w:szCs w:val="22"/>
              </w:rPr>
            </w:pPr>
          </w:p>
        </w:tc>
        <w:tc>
          <w:tcPr>
            <w:tcW w:w="25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B13E8">
            <w:pPr>
              <w:widowControl/>
              <w:textAlignment w:val="center"/>
              <w:rPr>
                <w:rFonts w:ascii="宋体" w:hAnsi="宋体" w:cs="宋体"/>
                <w:sz w:val="22"/>
                <w:szCs w:val="22"/>
              </w:rPr>
            </w:pPr>
            <w:r>
              <w:rPr>
                <w:rFonts w:hint="eastAsia" w:ascii="宋体" w:hAnsi="宋体" w:cs="宋体"/>
                <w:kern w:val="0"/>
                <w:sz w:val="22"/>
                <w:szCs w:val="22"/>
              </w:rPr>
              <w:t>三星志愿者</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4A082">
            <w:pPr>
              <w:rPr>
                <w:rFonts w:ascii="宋体" w:hAnsi="宋体" w:cs="宋体"/>
                <w:color w:val="000000"/>
                <w:sz w:val="22"/>
                <w:szCs w:val="22"/>
              </w:rPr>
            </w:pPr>
            <w:r>
              <w:rPr>
                <w:rFonts w:hint="eastAsia" w:ascii="宋体" w:hAnsi="宋体" w:cs="宋体"/>
                <w:color w:val="000000"/>
                <w:sz w:val="22"/>
                <w:szCs w:val="22"/>
              </w:rPr>
              <w:t>3</w:t>
            </w:r>
          </w:p>
        </w:tc>
        <w:tc>
          <w:tcPr>
            <w:tcW w:w="22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AD53A">
            <w:pPr>
              <w:rPr>
                <w:rFonts w:ascii="宋体" w:hAnsi="宋体" w:cs="宋体"/>
                <w:color w:val="000000"/>
                <w:sz w:val="22"/>
                <w:szCs w:val="22"/>
              </w:rPr>
            </w:pPr>
            <w:r>
              <w:rPr>
                <w:rFonts w:hint="eastAsia" w:ascii="宋体" w:hAnsi="宋体" w:cs="宋体"/>
                <w:color w:val="000000"/>
                <w:sz w:val="22"/>
                <w:szCs w:val="22"/>
              </w:rPr>
              <w:t>600小时</w:t>
            </w:r>
          </w:p>
        </w:tc>
      </w:tr>
      <w:tr w14:paraId="04DD2810">
        <w:tblPrEx>
          <w:tblCellMar>
            <w:top w:w="0" w:type="dxa"/>
            <w:left w:w="108" w:type="dxa"/>
            <w:bottom w:w="0" w:type="dxa"/>
            <w:right w:w="108" w:type="dxa"/>
          </w:tblCellMar>
        </w:tblPrEx>
        <w:trPr>
          <w:trHeight w:val="270" w:hRule="atLeast"/>
        </w:trPr>
        <w:tc>
          <w:tcPr>
            <w:tcW w:w="2441" w:type="dxa"/>
            <w:gridSpan w:val="2"/>
            <w:vMerge w:val="continue"/>
            <w:tcBorders>
              <w:left w:val="single" w:color="000000" w:sz="4" w:space="0"/>
              <w:right w:val="single" w:color="000000" w:sz="4" w:space="0"/>
            </w:tcBorders>
            <w:shd w:val="clear" w:color="auto" w:fill="auto"/>
            <w:noWrap/>
            <w:vAlign w:val="center"/>
          </w:tcPr>
          <w:p w14:paraId="445A6600">
            <w:pPr>
              <w:widowControl/>
              <w:textAlignment w:val="center"/>
              <w:rPr>
                <w:rFonts w:ascii="宋体" w:hAnsi="宋体" w:cs="宋体"/>
                <w:color w:val="000000"/>
                <w:sz w:val="22"/>
                <w:szCs w:val="22"/>
              </w:rPr>
            </w:pPr>
          </w:p>
        </w:tc>
        <w:tc>
          <w:tcPr>
            <w:tcW w:w="25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AF7FB">
            <w:pPr>
              <w:rPr>
                <w:rFonts w:ascii="宋体" w:hAnsi="宋体" w:cs="宋体"/>
                <w:sz w:val="22"/>
                <w:szCs w:val="22"/>
              </w:rPr>
            </w:pPr>
            <w:r>
              <w:rPr>
                <w:rFonts w:hint="eastAsia" w:ascii="宋体" w:hAnsi="宋体" w:cs="宋体"/>
                <w:sz w:val="22"/>
                <w:szCs w:val="22"/>
              </w:rPr>
              <w:t>二星志愿者</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E440A">
            <w:pPr>
              <w:rPr>
                <w:rFonts w:ascii="宋体" w:hAnsi="宋体" w:cs="宋体"/>
                <w:color w:val="000000"/>
                <w:sz w:val="22"/>
                <w:szCs w:val="22"/>
              </w:rPr>
            </w:pPr>
            <w:r>
              <w:rPr>
                <w:rFonts w:hint="eastAsia" w:ascii="宋体" w:hAnsi="宋体" w:cs="宋体"/>
                <w:color w:val="000000"/>
                <w:sz w:val="22"/>
                <w:szCs w:val="22"/>
              </w:rPr>
              <w:t>2</w:t>
            </w:r>
          </w:p>
        </w:tc>
        <w:tc>
          <w:tcPr>
            <w:tcW w:w="22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45D65">
            <w:pPr>
              <w:rPr>
                <w:rFonts w:ascii="宋体" w:hAnsi="宋体" w:cs="宋体"/>
                <w:color w:val="000000"/>
                <w:sz w:val="22"/>
                <w:szCs w:val="22"/>
              </w:rPr>
            </w:pPr>
            <w:r>
              <w:rPr>
                <w:rFonts w:hint="eastAsia" w:ascii="宋体" w:hAnsi="宋体" w:cs="宋体"/>
                <w:color w:val="000000"/>
                <w:sz w:val="22"/>
                <w:szCs w:val="22"/>
              </w:rPr>
              <w:t>300小时</w:t>
            </w:r>
          </w:p>
        </w:tc>
      </w:tr>
      <w:tr w14:paraId="6E5D7DFC">
        <w:tblPrEx>
          <w:tblCellMar>
            <w:top w:w="0" w:type="dxa"/>
            <w:left w:w="108" w:type="dxa"/>
            <w:bottom w:w="0" w:type="dxa"/>
            <w:right w:w="108" w:type="dxa"/>
          </w:tblCellMar>
        </w:tblPrEx>
        <w:trPr>
          <w:trHeight w:val="270" w:hRule="atLeast"/>
        </w:trPr>
        <w:tc>
          <w:tcPr>
            <w:tcW w:w="2441" w:type="dxa"/>
            <w:gridSpan w:val="2"/>
            <w:vMerge w:val="continue"/>
            <w:tcBorders>
              <w:left w:val="single" w:color="000000" w:sz="4" w:space="0"/>
              <w:bottom w:val="single" w:color="000000" w:sz="4" w:space="0"/>
              <w:right w:val="single" w:color="000000" w:sz="4" w:space="0"/>
            </w:tcBorders>
            <w:shd w:val="clear" w:color="auto" w:fill="auto"/>
            <w:noWrap/>
            <w:vAlign w:val="center"/>
          </w:tcPr>
          <w:p w14:paraId="284BCC79">
            <w:pPr>
              <w:widowControl/>
              <w:textAlignment w:val="center"/>
              <w:rPr>
                <w:rFonts w:ascii="宋体" w:hAnsi="宋体" w:cs="宋体"/>
                <w:color w:val="000000"/>
                <w:kern w:val="0"/>
                <w:sz w:val="22"/>
                <w:szCs w:val="22"/>
              </w:rPr>
            </w:pPr>
          </w:p>
        </w:tc>
        <w:tc>
          <w:tcPr>
            <w:tcW w:w="25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03997">
            <w:pPr>
              <w:rPr>
                <w:rFonts w:ascii="宋体" w:hAnsi="宋体" w:cs="宋体"/>
                <w:sz w:val="22"/>
                <w:szCs w:val="22"/>
              </w:rPr>
            </w:pPr>
            <w:r>
              <w:rPr>
                <w:rFonts w:hint="eastAsia" w:ascii="宋体" w:hAnsi="宋体" w:cs="宋体"/>
                <w:sz w:val="22"/>
                <w:szCs w:val="22"/>
              </w:rPr>
              <w:t>一星志愿者</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3BE3A">
            <w:pPr>
              <w:rPr>
                <w:rFonts w:ascii="宋体" w:hAnsi="宋体" w:cs="宋体"/>
                <w:color w:val="000000"/>
                <w:sz w:val="22"/>
                <w:szCs w:val="22"/>
              </w:rPr>
            </w:pPr>
            <w:r>
              <w:rPr>
                <w:rFonts w:hint="eastAsia" w:ascii="宋体" w:hAnsi="宋体" w:cs="宋体"/>
                <w:color w:val="000000"/>
                <w:sz w:val="22"/>
                <w:szCs w:val="22"/>
              </w:rPr>
              <w:t>1</w:t>
            </w:r>
          </w:p>
        </w:tc>
        <w:tc>
          <w:tcPr>
            <w:tcW w:w="22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063E4">
            <w:pPr>
              <w:rPr>
                <w:rFonts w:ascii="宋体" w:hAnsi="宋体" w:cs="宋体"/>
                <w:color w:val="000000"/>
                <w:sz w:val="22"/>
                <w:szCs w:val="22"/>
              </w:rPr>
            </w:pPr>
            <w:r>
              <w:rPr>
                <w:rFonts w:hint="eastAsia" w:ascii="宋体" w:hAnsi="宋体" w:cs="宋体"/>
                <w:color w:val="000000"/>
                <w:sz w:val="22"/>
                <w:szCs w:val="22"/>
              </w:rPr>
              <w:t>100小时</w:t>
            </w:r>
          </w:p>
        </w:tc>
      </w:tr>
      <w:tr w14:paraId="555E89E5">
        <w:tblPrEx>
          <w:tblCellMar>
            <w:top w:w="0" w:type="dxa"/>
            <w:left w:w="108" w:type="dxa"/>
            <w:bottom w:w="0" w:type="dxa"/>
            <w:right w:w="108" w:type="dxa"/>
          </w:tblCellMar>
        </w:tblPrEx>
        <w:trPr>
          <w:trHeight w:val="270" w:hRule="atLeast"/>
        </w:trPr>
        <w:tc>
          <w:tcPr>
            <w:tcW w:w="244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8F581">
            <w:pPr>
              <w:widowControl/>
              <w:textAlignment w:val="center"/>
              <w:rPr>
                <w:rFonts w:ascii="宋体" w:hAnsi="宋体" w:cs="宋体"/>
                <w:color w:val="000000"/>
                <w:sz w:val="22"/>
                <w:szCs w:val="22"/>
              </w:rPr>
            </w:pPr>
            <w:r>
              <w:rPr>
                <w:rFonts w:hint="eastAsia" w:ascii="宋体" w:hAnsi="宋体" w:cs="宋体"/>
                <w:color w:val="000000"/>
                <w:kern w:val="0"/>
                <w:sz w:val="22"/>
                <w:szCs w:val="22"/>
              </w:rPr>
              <w:t>到国际组织实习</w:t>
            </w:r>
          </w:p>
        </w:tc>
        <w:tc>
          <w:tcPr>
            <w:tcW w:w="25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C6260">
            <w:pPr>
              <w:rPr>
                <w:rFonts w:ascii="宋体" w:hAnsi="宋体" w:cs="宋体"/>
                <w:color w:val="000000"/>
                <w:sz w:val="22"/>
                <w:szCs w:val="22"/>
              </w:rPr>
            </w:pPr>
            <w:r>
              <w:rPr>
                <w:rFonts w:hint="eastAsia" w:ascii="宋体" w:hAnsi="宋体" w:cs="宋体"/>
                <w:sz w:val="22"/>
                <w:szCs w:val="22"/>
              </w:rPr>
              <w:t>有相关鉴定材料，实习期不少于</w:t>
            </w:r>
            <w:r>
              <w:rPr>
                <w:rFonts w:ascii="宋体" w:hAnsi="宋体" w:cs="宋体"/>
                <w:sz w:val="22"/>
                <w:szCs w:val="22"/>
              </w:rPr>
              <w:t>3个月</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CD9ED">
            <w:pPr>
              <w:rPr>
                <w:rFonts w:ascii="宋体" w:hAnsi="宋体" w:cs="宋体"/>
                <w:color w:val="000000"/>
                <w:sz w:val="22"/>
                <w:szCs w:val="22"/>
              </w:rPr>
            </w:pPr>
            <w:r>
              <w:rPr>
                <w:rFonts w:ascii="宋体" w:hAnsi="宋体" w:cs="宋体"/>
                <w:color w:val="000000"/>
                <w:sz w:val="22"/>
                <w:szCs w:val="22"/>
              </w:rPr>
              <w:t>2</w:t>
            </w:r>
          </w:p>
        </w:tc>
        <w:tc>
          <w:tcPr>
            <w:tcW w:w="22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5AB8D">
            <w:pPr>
              <w:rPr>
                <w:rFonts w:ascii="宋体" w:hAnsi="宋体" w:cs="宋体"/>
                <w:color w:val="000000"/>
                <w:sz w:val="22"/>
                <w:szCs w:val="22"/>
              </w:rPr>
            </w:pPr>
          </w:p>
        </w:tc>
      </w:tr>
      <w:tr w14:paraId="52DF9D5C">
        <w:tblPrEx>
          <w:tblCellMar>
            <w:top w:w="0" w:type="dxa"/>
            <w:left w:w="108" w:type="dxa"/>
            <w:bottom w:w="0" w:type="dxa"/>
            <w:right w:w="108" w:type="dxa"/>
          </w:tblCellMar>
        </w:tblPrEx>
        <w:trPr>
          <w:trHeight w:val="23" w:hRule="atLeast"/>
        </w:trPr>
        <w:tc>
          <w:tcPr>
            <w:tcW w:w="2441" w:type="dxa"/>
            <w:gridSpan w:val="2"/>
            <w:vMerge w:val="restart"/>
            <w:tcBorders>
              <w:top w:val="single" w:color="000000" w:sz="4" w:space="0"/>
              <w:left w:val="single" w:color="000000" w:sz="4" w:space="0"/>
              <w:right w:val="single" w:color="000000" w:sz="4" w:space="0"/>
            </w:tcBorders>
            <w:shd w:val="clear" w:color="auto" w:fill="auto"/>
            <w:noWrap/>
            <w:vAlign w:val="center"/>
          </w:tcPr>
          <w:p w14:paraId="2E6D356A">
            <w:pPr>
              <w:widowControl/>
              <w:textAlignment w:val="center"/>
              <w:rPr>
                <w:rFonts w:ascii="宋体" w:hAnsi="宋体" w:cs="宋体"/>
                <w:color w:val="000000"/>
                <w:kern w:val="0"/>
                <w:sz w:val="22"/>
                <w:szCs w:val="22"/>
              </w:rPr>
            </w:pPr>
            <w:r>
              <w:rPr>
                <w:rFonts w:hint="eastAsia" w:ascii="宋体" w:hAnsi="宋体" w:cs="宋体"/>
                <w:color w:val="000000"/>
                <w:kern w:val="0"/>
                <w:sz w:val="22"/>
                <w:szCs w:val="22"/>
              </w:rPr>
              <w:t>荣誉</w:t>
            </w:r>
          </w:p>
        </w:tc>
        <w:tc>
          <w:tcPr>
            <w:tcW w:w="2596" w:type="dxa"/>
            <w:gridSpan w:val="2"/>
            <w:tcBorders>
              <w:top w:val="single" w:color="000000" w:sz="4" w:space="0"/>
              <w:left w:val="single" w:color="000000" w:sz="4" w:space="0"/>
              <w:bottom w:val="single" w:color="000000" w:sz="4" w:space="0"/>
              <w:right w:val="single" w:color="000000" w:sz="4" w:space="0"/>
            </w:tcBorders>
            <w:shd w:val="clear" w:color="auto" w:fill="auto"/>
            <w:noWrap/>
          </w:tcPr>
          <w:p w14:paraId="319E308B">
            <w:pPr>
              <w:rPr>
                <w:rFonts w:ascii="宋体" w:hAnsi="宋体" w:cs="宋体"/>
                <w:sz w:val="22"/>
                <w:szCs w:val="22"/>
              </w:rPr>
            </w:pPr>
            <w:r>
              <w:rPr>
                <w:rFonts w:hint="eastAsia" w:ascii="宋体" w:hAnsi="宋体" w:cs="宋体"/>
                <w:sz w:val="22"/>
                <w:szCs w:val="22"/>
              </w:rPr>
              <w:t>国家荣誉</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F09B6">
            <w:pPr>
              <w:rPr>
                <w:rFonts w:ascii="宋体" w:hAnsi="宋体" w:cs="宋体"/>
                <w:color w:val="000000"/>
                <w:sz w:val="22"/>
                <w:szCs w:val="22"/>
              </w:rPr>
            </w:pPr>
            <w:r>
              <w:rPr>
                <w:rFonts w:hint="eastAsia" w:ascii="宋体" w:hAnsi="宋体" w:cs="宋体"/>
                <w:color w:val="000000"/>
                <w:sz w:val="22"/>
                <w:szCs w:val="22"/>
              </w:rPr>
              <w:t>8</w:t>
            </w:r>
          </w:p>
        </w:tc>
        <w:tc>
          <w:tcPr>
            <w:tcW w:w="2289" w:type="dxa"/>
            <w:tcBorders>
              <w:top w:val="single" w:color="000000" w:sz="4" w:space="0"/>
              <w:left w:val="single" w:color="000000" w:sz="4" w:space="0"/>
              <w:bottom w:val="single" w:color="000000" w:sz="4" w:space="0"/>
              <w:right w:val="single" w:color="000000" w:sz="4" w:space="0"/>
            </w:tcBorders>
            <w:shd w:val="clear" w:color="auto" w:fill="auto"/>
            <w:noWrap/>
          </w:tcPr>
          <w:p w14:paraId="270BFB65">
            <w:pPr>
              <w:rPr>
                <w:rFonts w:ascii="宋体" w:hAnsi="宋体" w:cs="宋体"/>
                <w:color w:val="000000"/>
                <w:sz w:val="22"/>
                <w:szCs w:val="22"/>
              </w:rPr>
            </w:pPr>
          </w:p>
        </w:tc>
      </w:tr>
      <w:tr w14:paraId="230A5C40">
        <w:tblPrEx>
          <w:tblCellMar>
            <w:top w:w="0" w:type="dxa"/>
            <w:left w:w="108" w:type="dxa"/>
            <w:bottom w:w="0" w:type="dxa"/>
            <w:right w:w="108" w:type="dxa"/>
          </w:tblCellMar>
        </w:tblPrEx>
        <w:trPr>
          <w:trHeight w:val="23" w:hRule="atLeast"/>
        </w:trPr>
        <w:tc>
          <w:tcPr>
            <w:tcW w:w="2441" w:type="dxa"/>
            <w:gridSpan w:val="2"/>
            <w:vMerge w:val="continue"/>
            <w:tcBorders>
              <w:left w:val="single" w:color="000000" w:sz="4" w:space="0"/>
              <w:right w:val="single" w:color="000000" w:sz="4" w:space="0"/>
            </w:tcBorders>
            <w:shd w:val="clear" w:color="auto" w:fill="auto"/>
            <w:noWrap/>
            <w:vAlign w:val="center"/>
          </w:tcPr>
          <w:p w14:paraId="2CE5CC49">
            <w:pPr>
              <w:widowControl/>
              <w:textAlignment w:val="center"/>
              <w:rPr>
                <w:rFonts w:ascii="宋体" w:hAnsi="宋体" w:cs="宋体"/>
                <w:color w:val="000000"/>
                <w:kern w:val="0"/>
                <w:sz w:val="22"/>
                <w:szCs w:val="22"/>
              </w:rPr>
            </w:pPr>
          </w:p>
        </w:tc>
        <w:tc>
          <w:tcPr>
            <w:tcW w:w="25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82170">
            <w:pPr>
              <w:rPr>
                <w:rFonts w:ascii="宋体" w:hAnsi="宋体" w:cs="宋体"/>
                <w:sz w:val="22"/>
                <w:szCs w:val="22"/>
              </w:rPr>
            </w:pPr>
            <w:r>
              <w:rPr>
                <w:rFonts w:hint="eastAsia" w:ascii="宋体" w:hAnsi="宋体" w:cs="宋体"/>
                <w:sz w:val="22"/>
                <w:szCs w:val="22"/>
              </w:rPr>
              <w:t>省部（北京市）级荣誉</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E3B2E">
            <w:pPr>
              <w:rPr>
                <w:rFonts w:ascii="宋体" w:hAnsi="宋体" w:cs="宋体"/>
                <w:color w:val="000000"/>
                <w:sz w:val="22"/>
                <w:szCs w:val="22"/>
              </w:rPr>
            </w:pPr>
            <w:r>
              <w:rPr>
                <w:rFonts w:hint="eastAsia" w:ascii="宋体" w:hAnsi="宋体" w:cs="宋体"/>
                <w:color w:val="000000"/>
                <w:sz w:val="22"/>
                <w:szCs w:val="22"/>
              </w:rPr>
              <w:t>4</w:t>
            </w:r>
          </w:p>
        </w:tc>
        <w:tc>
          <w:tcPr>
            <w:tcW w:w="2289" w:type="dxa"/>
            <w:tcBorders>
              <w:top w:val="single" w:color="000000" w:sz="4" w:space="0"/>
              <w:left w:val="single" w:color="000000" w:sz="4" w:space="0"/>
              <w:bottom w:val="single" w:color="000000" w:sz="4" w:space="0"/>
              <w:right w:val="single" w:color="000000" w:sz="4" w:space="0"/>
            </w:tcBorders>
            <w:shd w:val="clear" w:color="auto" w:fill="auto"/>
            <w:noWrap/>
          </w:tcPr>
          <w:p w14:paraId="173D7782">
            <w:pPr>
              <w:rPr>
                <w:rFonts w:ascii="宋体" w:hAnsi="宋体" w:cs="宋体"/>
                <w:color w:val="000000"/>
                <w:sz w:val="22"/>
                <w:szCs w:val="22"/>
              </w:rPr>
            </w:pPr>
          </w:p>
        </w:tc>
      </w:tr>
      <w:tr w14:paraId="1ED25F68">
        <w:tblPrEx>
          <w:tblCellMar>
            <w:top w:w="0" w:type="dxa"/>
            <w:left w:w="108" w:type="dxa"/>
            <w:bottom w:w="0" w:type="dxa"/>
            <w:right w:w="108" w:type="dxa"/>
          </w:tblCellMar>
        </w:tblPrEx>
        <w:trPr>
          <w:trHeight w:val="23" w:hRule="atLeast"/>
        </w:trPr>
        <w:tc>
          <w:tcPr>
            <w:tcW w:w="2441" w:type="dxa"/>
            <w:gridSpan w:val="2"/>
            <w:vMerge w:val="continue"/>
            <w:tcBorders>
              <w:left w:val="single" w:color="000000" w:sz="4" w:space="0"/>
              <w:right w:val="single" w:color="000000" w:sz="4" w:space="0"/>
            </w:tcBorders>
            <w:shd w:val="clear" w:color="auto" w:fill="auto"/>
            <w:noWrap/>
            <w:vAlign w:val="center"/>
          </w:tcPr>
          <w:p w14:paraId="1856693E">
            <w:pPr>
              <w:widowControl/>
              <w:textAlignment w:val="center"/>
              <w:rPr>
                <w:rFonts w:ascii="宋体" w:hAnsi="宋体" w:cs="宋体"/>
                <w:color w:val="000000"/>
                <w:kern w:val="0"/>
                <w:sz w:val="22"/>
                <w:szCs w:val="22"/>
              </w:rPr>
            </w:pPr>
          </w:p>
        </w:tc>
        <w:tc>
          <w:tcPr>
            <w:tcW w:w="25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0CA9C">
            <w:pPr>
              <w:rPr>
                <w:rFonts w:ascii="宋体" w:hAnsi="宋体" w:cs="宋体"/>
                <w:sz w:val="22"/>
                <w:szCs w:val="22"/>
              </w:rPr>
            </w:pPr>
            <w:r>
              <w:rPr>
                <w:rFonts w:hint="eastAsia" w:ascii="宋体" w:hAnsi="宋体" w:cs="宋体"/>
                <w:sz w:val="22"/>
                <w:szCs w:val="22"/>
              </w:rPr>
              <w:t>校级荣誉</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05383">
            <w:pPr>
              <w:rPr>
                <w:rFonts w:ascii="宋体" w:hAnsi="宋体" w:cs="宋体"/>
                <w:color w:val="000000"/>
                <w:sz w:val="22"/>
                <w:szCs w:val="22"/>
              </w:rPr>
            </w:pPr>
            <w:r>
              <w:rPr>
                <w:rFonts w:hint="eastAsia" w:ascii="宋体" w:hAnsi="宋体" w:cs="宋体"/>
                <w:color w:val="000000"/>
                <w:sz w:val="22"/>
                <w:szCs w:val="22"/>
              </w:rPr>
              <w:t>1</w:t>
            </w:r>
          </w:p>
        </w:tc>
        <w:tc>
          <w:tcPr>
            <w:tcW w:w="2289" w:type="dxa"/>
            <w:tcBorders>
              <w:top w:val="single" w:color="000000" w:sz="4" w:space="0"/>
              <w:left w:val="single" w:color="000000" w:sz="4" w:space="0"/>
              <w:bottom w:val="single" w:color="000000" w:sz="4" w:space="0"/>
              <w:right w:val="single" w:color="000000" w:sz="4" w:space="0"/>
            </w:tcBorders>
            <w:shd w:val="clear" w:color="auto" w:fill="auto"/>
            <w:noWrap/>
          </w:tcPr>
          <w:p w14:paraId="71455510">
            <w:pPr>
              <w:rPr>
                <w:rFonts w:ascii="宋体" w:hAnsi="宋体" w:cs="宋体"/>
                <w:color w:val="000000"/>
                <w:sz w:val="22"/>
                <w:szCs w:val="22"/>
              </w:rPr>
            </w:pPr>
          </w:p>
        </w:tc>
      </w:tr>
      <w:tr w14:paraId="63FA1216">
        <w:tblPrEx>
          <w:tblCellMar>
            <w:top w:w="0" w:type="dxa"/>
            <w:left w:w="108" w:type="dxa"/>
            <w:bottom w:w="0" w:type="dxa"/>
            <w:right w:w="108" w:type="dxa"/>
          </w:tblCellMar>
        </w:tblPrEx>
        <w:trPr>
          <w:trHeight w:val="23" w:hRule="atLeast"/>
        </w:trPr>
        <w:tc>
          <w:tcPr>
            <w:tcW w:w="2441" w:type="dxa"/>
            <w:gridSpan w:val="2"/>
            <w:vMerge w:val="continue"/>
            <w:tcBorders>
              <w:left w:val="single" w:color="000000" w:sz="4" w:space="0"/>
              <w:bottom w:val="single" w:color="000000" w:sz="4" w:space="0"/>
              <w:right w:val="single" w:color="000000" w:sz="4" w:space="0"/>
            </w:tcBorders>
            <w:shd w:val="clear" w:color="auto" w:fill="auto"/>
            <w:noWrap/>
            <w:vAlign w:val="center"/>
          </w:tcPr>
          <w:p w14:paraId="3E5618E7">
            <w:pPr>
              <w:widowControl/>
              <w:textAlignment w:val="center"/>
              <w:rPr>
                <w:rFonts w:ascii="宋体" w:hAnsi="宋体" w:cs="宋体"/>
                <w:color w:val="000000"/>
                <w:kern w:val="0"/>
                <w:sz w:val="22"/>
                <w:szCs w:val="22"/>
              </w:rPr>
            </w:pPr>
          </w:p>
        </w:tc>
        <w:tc>
          <w:tcPr>
            <w:tcW w:w="25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B058E">
            <w:pPr>
              <w:rPr>
                <w:rFonts w:ascii="宋体" w:hAnsi="宋体" w:cs="宋体"/>
                <w:sz w:val="22"/>
                <w:szCs w:val="22"/>
              </w:rPr>
            </w:pPr>
            <w:r>
              <w:rPr>
                <w:rFonts w:hint="eastAsia" w:ascii="宋体" w:hAnsi="宋体" w:cs="宋体"/>
                <w:sz w:val="22"/>
                <w:szCs w:val="22"/>
              </w:rPr>
              <w:t>院级荣誉</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9881F">
            <w:pPr>
              <w:rPr>
                <w:rFonts w:ascii="宋体" w:hAnsi="宋体" w:cs="宋体"/>
                <w:color w:val="000000"/>
                <w:sz w:val="22"/>
                <w:szCs w:val="22"/>
              </w:rPr>
            </w:pPr>
            <w:r>
              <w:rPr>
                <w:rFonts w:hint="eastAsia" w:ascii="宋体" w:hAnsi="宋体" w:cs="宋体"/>
                <w:color w:val="000000"/>
                <w:sz w:val="22"/>
                <w:szCs w:val="22"/>
              </w:rPr>
              <w:t>0.5</w:t>
            </w:r>
          </w:p>
        </w:tc>
        <w:tc>
          <w:tcPr>
            <w:tcW w:w="2289" w:type="dxa"/>
            <w:tcBorders>
              <w:top w:val="single" w:color="000000" w:sz="4" w:space="0"/>
              <w:left w:val="single" w:color="000000" w:sz="4" w:space="0"/>
              <w:bottom w:val="single" w:color="000000" w:sz="4" w:space="0"/>
              <w:right w:val="single" w:color="000000" w:sz="4" w:space="0"/>
            </w:tcBorders>
            <w:shd w:val="clear" w:color="auto" w:fill="auto"/>
            <w:noWrap/>
          </w:tcPr>
          <w:p w14:paraId="4D64EA22">
            <w:pPr>
              <w:rPr>
                <w:rFonts w:ascii="宋体" w:hAnsi="宋体" w:cs="宋体"/>
                <w:color w:val="000000"/>
                <w:sz w:val="22"/>
                <w:szCs w:val="22"/>
              </w:rPr>
            </w:pPr>
          </w:p>
        </w:tc>
      </w:tr>
    </w:tbl>
    <w:p w14:paraId="1BC3E908">
      <w:pPr>
        <w:widowControl/>
        <w:spacing w:line="560" w:lineRule="exact"/>
        <w:ind w:firstLine="640" w:firstLineChars="200"/>
        <w:rPr>
          <w:rFonts w:ascii="仿宋" w:hAnsi="仿宋" w:eastAsia="仿宋" w:cs="宋体"/>
          <w:color w:val="333333"/>
          <w:kern w:val="0"/>
          <w:sz w:val="32"/>
          <w:szCs w:val="32"/>
        </w:rPr>
      </w:pPr>
      <w:r>
        <w:rPr>
          <w:rFonts w:hint="eastAsia" w:ascii="仿宋" w:hAnsi="仿宋" w:eastAsia="仿宋" w:cs="宋体"/>
          <w:color w:val="333333"/>
          <w:kern w:val="0"/>
          <w:sz w:val="32"/>
          <w:szCs w:val="32"/>
        </w:rPr>
        <w:t>（三）对于学生的科研成果（论文、国家发明专利）、竞赛获奖奖项，学院组织专家审核小组（一般不少于5人）进行审核鉴定。其中，对科研论文、专利等进行公开答辩，对创新质量和个人贡献进行质询。对于社会质疑会较多的赛事、刊物，要从严把握。专家审核小组及每位成员给出明确审核鉴定意见并签字存档。答辩全程录音录像，答辩结果公开公示。</w:t>
      </w:r>
    </w:p>
    <w:p w14:paraId="6F04F470">
      <w:pPr>
        <w:widowControl/>
        <w:spacing w:line="560" w:lineRule="exact"/>
        <w:ind w:firstLine="640" w:firstLineChars="200"/>
        <w:rPr>
          <w:rFonts w:ascii="仿宋" w:hAnsi="仿宋" w:eastAsia="仿宋" w:cs="宋体"/>
          <w:color w:val="333333"/>
          <w:kern w:val="0"/>
          <w:sz w:val="32"/>
          <w:szCs w:val="32"/>
        </w:rPr>
      </w:pPr>
      <w:r>
        <w:rPr>
          <w:rFonts w:hint="eastAsia" w:ascii="仿宋" w:hAnsi="仿宋" w:eastAsia="仿宋" w:cs="宋体"/>
          <w:color w:val="333333"/>
          <w:kern w:val="0"/>
          <w:sz w:val="32"/>
          <w:szCs w:val="32"/>
        </w:rPr>
        <w:t>（四）综合成绩具体计算方法如下。</w:t>
      </w:r>
    </w:p>
    <w:p w14:paraId="0E08CA0B">
      <w:pPr>
        <w:widowControl/>
        <w:spacing w:line="560" w:lineRule="exact"/>
        <w:ind w:firstLine="640" w:firstLineChars="200"/>
        <w:rPr>
          <w:rFonts w:ascii="仿宋" w:hAnsi="仿宋" w:eastAsia="仿宋" w:cs="宋体"/>
          <w:color w:val="333333"/>
          <w:kern w:val="0"/>
          <w:sz w:val="32"/>
          <w:szCs w:val="32"/>
        </w:rPr>
      </w:pPr>
      <w:r>
        <w:rPr>
          <w:rFonts w:hint="eastAsia" w:ascii="仿宋" w:hAnsi="仿宋" w:eastAsia="仿宋" w:cs="宋体"/>
          <w:color w:val="333333"/>
          <w:kern w:val="0"/>
          <w:sz w:val="32"/>
          <w:szCs w:val="32"/>
        </w:rPr>
        <w:t>综合成绩=必修课加权平均成绩+素质评价成绩</w:t>
      </w:r>
    </w:p>
    <w:p w14:paraId="5FD65B4A">
      <w:pPr>
        <w:widowControl/>
        <w:spacing w:line="560" w:lineRule="exact"/>
        <w:ind w:firstLine="640" w:firstLineChars="200"/>
        <w:rPr>
          <w:rFonts w:ascii="仿宋" w:hAnsi="仿宋" w:eastAsia="仿宋" w:cs="宋体"/>
          <w:color w:val="333333"/>
          <w:kern w:val="0"/>
          <w:sz w:val="32"/>
          <w:szCs w:val="32"/>
        </w:rPr>
      </w:pPr>
      <w:r>
        <w:rPr>
          <w:rFonts w:hint="eastAsia" w:ascii="仿宋" w:hAnsi="仿宋" w:eastAsia="仿宋" w:cs="宋体"/>
          <w:color w:val="333333"/>
          <w:kern w:val="0"/>
          <w:sz w:val="32"/>
          <w:szCs w:val="32"/>
        </w:rPr>
        <w:t>其中，必修课加权平均成绩=∑已修必修课程成绩*学分/∑已修必修课程学分；</w:t>
      </w:r>
    </w:p>
    <w:p w14:paraId="58B995C3">
      <w:pPr>
        <w:widowControl/>
        <w:spacing w:line="560" w:lineRule="exact"/>
        <w:ind w:firstLine="640" w:firstLineChars="200"/>
        <w:rPr>
          <w:rFonts w:ascii="仿宋" w:hAnsi="仿宋" w:eastAsia="仿宋" w:cs="宋体"/>
          <w:color w:val="333333"/>
          <w:kern w:val="0"/>
          <w:sz w:val="32"/>
          <w:szCs w:val="32"/>
        </w:rPr>
      </w:pPr>
      <w:r>
        <w:rPr>
          <w:rFonts w:hint="eastAsia" w:ascii="仿宋" w:hAnsi="仿宋" w:eastAsia="仿宋" w:cs="宋体"/>
          <w:color w:val="333333"/>
          <w:kern w:val="0"/>
          <w:sz w:val="32"/>
          <w:szCs w:val="32"/>
        </w:rPr>
        <w:t>素质评价成绩=各项评价指标获得分数之和。</w:t>
      </w:r>
    </w:p>
    <w:p w14:paraId="08C563DB">
      <w:pPr>
        <w:widowControl/>
        <w:spacing w:line="560" w:lineRule="exact"/>
        <w:ind w:firstLine="640" w:firstLineChars="200"/>
        <w:rPr>
          <w:rFonts w:ascii="仿宋" w:hAnsi="仿宋" w:eastAsia="仿宋" w:cs="宋体"/>
          <w:color w:val="333333"/>
          <w:kern w:val="0"/>
          <w:sz w:val="32"/>
          <w:szCs w:val="32"/>
        </w:rPr>
      </w:pPr>
      <w:r>
        <w:rPr>
          <w:rFonts w:hint="eastAsia" w:ascii="仿宋" w:hAnsi="仿宋" w:eastAsia="仿宋" w:cs="宋体"/>
          <w:color w:val="333333"/>
          <w:kern w:val="0"/>
          <w:sz w:val="32"/>
          <w:szCs w:val="32"/>
        </w:rPr>
        <w:t>素质评价中，学生在某一指标（除荣誉得分）若有多项加分情况时，原则上只取得分最高的一项，不累加计算。说明如下：</w:t>
      </w:r>
    </w:p>
    <w:p w14:paraId="71F3C5EA">
      <w:pPr>
        <w:widowControl/>
        <w:spacing w:line="560" w:lineRule="exact"/>
        <w:ind w:firstLine="640" w:firstLineChars="200"/>
        <w:rPr>
          <w:rFonts w:ascii="仿宋" w:hAnsi="仿宋" w:eastAsia="仿宋" w:cs="宋体"/>
          <w:color w:val="333333"/>
          <w:kern w:val="0"/>
          <w:sz w:val="32"/>
          <w:szCs w:val="32"/>
        </w:rPr>
      </w:pPr>
      <w:r>
        <w:rPr>
          <w:rFonts w:hint="eastAsia" w:ascii="仿宋" w:hAnsi="仿宋" w:eastAsia="仿宋" w:cs="宋体"/>
          <w:color w:val="333333"/>
          <w:kern w:val="0"/>
          <w:sz w:val="32"/>
          <w:szCs w:val="32"/>
        </w:rPr>
        <w:t>1.科研成果最高分为6分，学生拥有获批国家发明专利，且发表高水平专业学术论文，根据类别对应分值，只取最高级别的一项计入科研成果分数，专利和论文分值不做累加；学生发表多篇高水平专业学术论文，根据论文级别对应分值，只取最高级别的一项的计入科研成果分数，多篇论文不做累加。</w:t>
      </w:r>
    </w:p>
    <w:p w14:paraId="794946AC">
      <w:pPr>
        <w:widowControl/>
        <w:spacing w:line="560" w:lineRule="exact"/>
        <w:ind w:firstLine="640" w:firstLineChars="200"/>
        <w:rPr>
          <w:rFonts w:ascii="仿宋" w:hAnsi="仿宋" w:eastAsia="仿宋" w:cs="宋体"/>
          <w:color w:val="333333"/>
          <w:kern w:val="0"/>
          <w:sz w:val="32"/>
          <w:szCs w:val="32"/>
        </w:rPr>
      </w:pPr>
      <w:r>
        <w:rPr>
          <w:rFonts w:hint="eastAsia" w:ascii="仿宋" w:hAnsi="仿宋" w:eastAsia="仿宋" w:cs="宋体"/>
          <w:color w:val="333333"/>
          <w:kern w:val="0"/>
          <w:sz w:val="32"/>
          <w:szCs w:val="32"/>
        </w:rPr>
        <w:t>2.学科竞赛最高分为8分，学生获得多个国家级三等奖以上的奖项，根据奖项级别对应分值，只取所有奖项中级别最高的一项计入学科竞赛分数，多个奖项不做累加。</w:t>
      </w:r>
    </w:p>
    <w:p w14:paraId="334D0E78">
      <w:pPr>
        <w:widowControl/>
        <w:spacing w:line="560" w:lineRule="exact"/>
        <w:ind w:firstLine="640" w:firstLineChars="200"/>
        <w:rPr>
          <w:rFonts w:ascii="仿宋" w:hAnsi="仿宋" w:eastAsia="仿宋" w:cs="宋体"/>
          <w:color w:val="333333"/>
          <w:kern w:val="0"/>
          <w:sz w:val="32"/>
          <w:szCs w:val="32"/>
        </w:rPr>
      </w:pPr>
      <w:r>
        <w:rPr>
          <w:rFonts w:hint="eastAsia" w:ascii="仿宋" w:hAnsi="仿宋" w:eastAsia="仿宋" w:cs="宋体"/>
          <w:color w:val="333333"/>
          <w:kern w:val="0"/>
          <w:sz w:val="32"/>
          <w:szCs w:val="32"/>
        </w:rPr>
        <w:t>3.参军入伍服兵役获得三等功以上最高分为15分，学生获得多个功劳奖励，只取所有功劳中级别最高的一项计入军功分数，多个功劳不做累加。</w:t>
      </w:r>
    </w:p>
    <w:p w14:paraId="58590A58">
      <w:pPr>
        <w:widowControl/>
        <w:spacing w:line="560" w:lineRule="exact"/>
        <w:ind w:firstLine="640" w:firstLineChars="200"/>
        <w:rPr>
          <w:rFonts w:ascii="仿宋" w:hAnsi="仿宋" w:eastAsia="仿宋" w:cs="宋体"/>
          <w:color w:val="333333"/>
          <w:kern w:val="0"/>
          <w:sz w:val="32"/>
          <w:szCs w:val="32"/>
        </w:rPr>
      </w:pPr>
      <w:r>
        <w:rPr>
          <w:rFonts w:hint="eastAsia" w:ascii="仿宋" w:hAnsi="仿宋" w:eastAsia="仿宋" w:cs="宋体"/>
          <w:color w:val="333333"/>
          <w:kern w:val="0"/>
          <w:sz w:val="32"/>
          <w:szCs w:val="32"/>
        </w:rPr>
        <w:t>4.参加志愿服务最高分为5分，学生获得多种星级志愿者称号，只取级别最高的一项计入志愿服务分数，多个星级评价不做累加。</w:t>
      </w:r>
    </w:p>
    <w:p w14:paraId="0A2B7F02">
      <w:pPr>
        <w:widowControl/>
        <w:spacing w:line="560" w:lineRule="exact"/>
        <w:ind w:firstLine="640" w:firstLineChars="200"/>
        <w:rPr>
          <w:rFonts w:ascii="仿宋" w:hAnsi="仿宋" w:eastAsia="仿宋" w:cs="宋体"/>
          <w:color w:val="333333"/>
          <w:kern w:val="0"/>
          <w:sz w:val="32"/>
          <w:szCs w:val="32"/>
        </w:rPr>
      </w:pPr>
      <w:r>
        <w:rPr>
          <w:rFonts w:hint="eastAsia" w:ascii="仿宋" w:hAnsi="仿宋" w:eastAsia="仿宋" w:cs="宋体"/>
          <w:color w:val="333333"/>
          <w:kern w:val="0"/>
          <w:sz w:val="32"/>
          <w:szCs w:val="32"/>
        </w:rPr>
        <w:t>5.到国际组织实习最高分为2分，学生参与多种多次国际组织实习，只计入一项，不做累加。</w:t>
      </w:r>
    </w:p>
    <w:p w14:paraId="6F30A622">
      <w:pPr>
        <w:widowControl/>
        <w:spacing w:line="560" w:lineRule="exact"/>
        <w:ind w:firstLine="640" w:firstLineChars="200"/>
        <w:rPr>
          <w:rFonts w:ascii="仿宋" w:hAnsi="仿宋" w:eastAsia="仿宋" w:cs="宋体"/>
          <w:color w:val="333333"/>
          <w:kern w:val="0"/>
          <w:sz w:val="32"/>
          <w:szCs w:val="32"/>
        </w:rPr>
      </w:pPr>
      <w:r>
        <w:rPr>
          <w:rFonts w:hint="eastAsia" w:ascii="仿宋" w:hAnsi="仿宋" w:eastAsia="仿宋" w:cs="宋体"/>
          <w:color w:val="333333"/>
          <w:kern w:val="0"/>
          <w:sz w:val="32"/>
          <w:szCs w:val="32"/>
        </w:rPr>
        <w:t>6.荣誉得分中，学生多项荣誉可做累加，不设上限。</w:t>
      </w:r>
    </w:p>
    <w:p w14:paraId="3A3F8EF8">
      <w:pPr>
        <w:widowControl/>
        <w:spacing w:line="560" w:lineRule="exact"/>
        <w:ind w:firstLine="640" w:firstLineChars="200"/>
        <w:rPr>
          <w:rFonts w:ascii="仿宋" w:hAnsi="仿宋" w:eastAsia="仿宋" w:cs="宋体"/>
          <w:color w:val="333333"/>
          <w:kern w:val="0"/>
          <w:sz w:val="32"/>
          <w:szCs w:val="32"/>
        </w:rPr>
      </w:pPr>
      <w:r>
        <w:rPr>
          <w:rFonts w:hint="eastAsia" w:ascii="仿宋" w:hAnsi="仿宋" w:eastAsia="仿宋" w:cs="宋体"/>
          <w:color w:val="333333"/>
          <w:kern w:val="0"/>
          <w:sz w:val="32"/>
          <w:szCs w:val="32"/>
        </w:rPr>
        <w:t>根据学校要求，不得为仅符合单一或部分遴选指标的学生单列计划或破格推荐。</w:t>
      </w:r>
    </w:p>
    <w:p w14:paraId="000664D3">
      <w:pPr>
        <w:widowControl/>
        <w:shd w:val="clear" w:color="auto" w:fill="FFFFFF"/>
        <w:spacing w:line="555" w:lineRule="atLeast"/>
        <w:jc w:val="center"/>
        <w:rPr>
          <w:rFonts w:ascii="黑体" w:hAnsi="黑体" w:eastAsia="黑体" w:cs="宋体"/>
          <w:color w:val="333333"/>
          <w:kern w:val="0"/>
          <w:sz w:val="32"/>
          <w:szCs w:val="32"/>
        </w:rPr>
      </w:pPr>
      <w:r>
        <w:rPr>
          <w:rFonts w:hint="eastAsia" w:ascii="黑体" w:hAnsi="黑体" w:eastAsia="黑体" w:cs="宋体"/>
          <w:color w:val="333333"/>
          <w:kern w:val="0"/>
          <w:sz w:val="32"/>
          <w:szCs w:val="32"/>
        </w:rPr>
        <w:t>第四章  推免工作程序</w:t>
      </w:r>
    </w:p>
    <w:p w14:paraId="613DC55E">
      <w:pPr>
        <w:widowControl/>
        <w:spacing w:line="560" w:lineRule="exact"/>
        <w:ind w:firstLine="640" w:firstLineChars="200"/>
        <w:rPr>
          <w:rFonts w:ascii="仿宋" w:hAnsi="仿宋" w:eastAsia="仿宋" w:cs="宋体"/>
          <w:color w:val="333333"/>
          <w:kern w:val="0"/>
          <w:sz w:val="32"/>
          <w:szCs w:val="32"/>
        </w:rPr>
      </w:pPr>
      <w:r>
        <w:rPr>
          <w:rFonts w:hint="eastAsia" w:ascii="仿宋" w:hAnsi="仿宋" w:eastAsia="仿宋" w:cs="宋体"/>
          <w:color w:val="333333"/>
          <w:kern w:val="0"/>
          <w:sz w:val="32"/>
          <w:szCs w:val="32"/>
        </w:rPr>
        <w:t>第八条</w:t>
      </w:r>
      <w:r>
        <w:rPr>
          <w:rFonts w:ascii="仿宋" w:hAnsi="仿宋" w:eastAsia="仿宋" w:cs="宋体"/>
          <w:color w:val="333333"/>
          <w:kern w:val="0"/>
          <w:sz w:val="32"/>
          <w:szCs w:val="32"/>
        </w:rPr>
        <w:t xml:space="preserve">  </w:t>
      </w:r>
      <w:r>
        <w:rPr>
          <w:rFonts w:hint="eastAsia" w:ascii="仿宋" w:hAnsi="仿宋" w:eastAsia="仿宋" w:cs="宋体"/>
          <w:color w:val="333333"/>
          <w:kern w:val="0"/>
          <w:sz w:val="32"/>
          <w:szCs w:val="32"/>
        </w:rPr>
        <w:t>遴选工作按以下程序进行：</w:t>
      </w:r>
    </w:p>
    <w:p w14:paraId="2E3AB380">
      <w:pPr>
        <w:widowControl/>
        <w:spacing w:line="560" w:lineRule="exact"/>
        <w:ind w:firstLine="640" w:firstLineChars="200"/>
        <w:rPr>
          <w:rFonts w:ascii="仿宋" w:hAnsi="仿宋" w:eastAsia="仿宋" w:cs="宋体"/>
          <w:color w:val="333333"/>
          <w:kern w:val="0"/>
          <w:sz w:val="32"/>
          <w:szCs w:val="32"/>
        </w:rPr>
      </w:pPr>
      <w:r>
        <w:rPr>
          <w:rFonts w:hint="eastAsia" w:ascii="仿宋" w:hAnsi="仿宋" w:eastAsia="仿宋" w:cs="宋体"/>
          <w:color w:val="333333"/>
          <w:kern w:val="0"/>
          <w:sz w:val="32"/>
          <w:szCs w:val="32"/>
        </w:rPr>
        <w:t>（一）学院根据有关文件精神，成立遴选工作小组，制定本学院遴选工作实施细则，在学院内予以公布；</w:t>
      </w:r>
    </w:p>
    <w:p w14:paraId="2FE1A6F0">
      <w:pPr>
        <w:widowControl/>
        <w:spacing w:line="560" w:lineRule="exact"/>
        <w:ind w:firstLine="640" w:firstLineChars="200"/>
        <w:rPr>
          <w:rFonts w:ascii="仿宋" w:hAnsi="仿宋" w:eastAsia="仿宋" w:cs="宋体"/>
          <w:color w:val="333333"/>
          <w:kern w:val="0"/>
          <w:sz w:val="32"/>
          <w:szCs w:val="32"/>
        </w:rPr>
      </w:pPr>
      <w:r>
        <w:rPr>
          <w:rFonts w:hint="eastAsia" w:ascii="仿宋" w:hAnsi="仿宋" w:eastAsia="仿宋" w:cs="宋体"/>
          <w:color w:val="333333"/>
          <w:kern w:val="0"/>
          <w:sz w:val="32"/>
          <w:szCs w:val="32"/>
        </w:rPr>
        <w:t>（二）符合条件的学生在规定期限内向学院提交《北京信息科技大学推荐优秀应届本科毕业学生干部免试攻读研究生资格申请表》，并提交有关符合素质评价加分项目的证明材料电子版及复印件。</w:t>
      </w:r>
    </w:p>
    <w:p w14:paraId="002F8530">
      <w:pPr>
        <w:widowControl/>
        <w:spacing w:line="560" w:lineRule="exact"/>
        <w:ind w:firstLine="640" w:firstLineChars="200"/>
        <w:rPr>
          <w:rFonts w:ascii="仿宋" w:hAnsi="仿宋" w:eastAsia="仿宋" w:cs="宋体"/>
          <w:color w:val="333333"/>
          <w:kern w:val="0"/>
          <w:sz w:val="32"/>
          <w:szCs w:val="32"/>
        </w:rPr>
      </w:pPr>
      <w:r>
        <w:rPr>
          <w:rFonts w:hint="eastAsia" w:ascii="仿宋" w:hAnsi="仿宋" w:eastAsia="仿宋" w:cs="宋体"/>
          <w:color w:val="333333"/>
          <w:kern w:val="0"/>
          <w:sz w:val="32"/>
          <w:szCs w:val="32"/>
        </w:rPr>
        <w:t>（三）遴选工作小组遵循公开、公正、公平的原则，对提出申请的学生根据遴选条件进行审核，对符合条件的学生分专业按照综合成绩由高至低进行排序，根据学校遴选条件，确定推免建议人选名单。</w:t>
      </w:r>
    </w:p>
    <w:p w14:paraId="71F9A80A">
      <w:pPr>
        <w:widowControl/>
        <w:spacing w:line="560" w:lineRule="exact"/>
        <w:ind w:firstLine="640" w:firstLineChars="200"/>
        <w:rPr>
          <w:rFonts w:ascii="仿宋" w:hAnsi="仿宋" w:eastAsia="仿宋" w:cs="宋体"/>
          <w:color w:val="333333"/>
          <w:kern w:val="0"/>
          <w:sz w:val="32"/>
          <w:szCs w:val="32"/>
        </w:rPr>
      </w:pPr>
      <w:r>
        <w:rPr>
          <w:rFonts w:hint="eastAsia" w:ascii="仿宋" w:hAnsi="仿宋" w:eastAsia="仿宋" w:cs="宋体"/>
          <w:color w:val="333333"/>
          <w:kern w:val="0"/>
          <w:sz w:val="32"/>
          <w:szCs w:val="32"/>
        </w:rPr>
        <w:t>（四）拟推荐名单在学院网站、信息栏公示，公示期间名单将不能修改。名单如有变动，将对变动部分做出说明，并对变动内容重新进行公示。</w:t>
      </w:r>
    </w:p>
    <w:p w14:paraId="7A3C99CB">
      <w:pPr>
        <w:widowControl/>
        <w:spacing w:line="560" w:lineRule="exact"/>
        <w:ind w:firstLine="640" w:firstLineChars="200"/>
        <w:rPr>
          <w:rFonts w:ascii="仿宋" w:hAnsi="仿宋" w:eastAsia="仿宋" w:cs="宋体"/>
          <w:color w:val="333333"/>
          <w:kern w:val="0"/>
          <w:sz w:val="32"/>
          <w:szCs w:val="32"/>
        </w:rPr>
      </w:pPr>
      <w:r>
        <w:rPr>
          <w:rFonts w:hint="eastAsia" w:ascii="仿宋" w:hAnsi="仿宋" w:eastAsia="仿宋" w:cs="宋体"/>
          <w:color w:val="333333"/>
          <w:kern w:val="0"/>
          <w:sz w:val="32"/>
          <w:szCs w:val="32"/>
        </w:rPr>
        <w:t>（五）《2026年推荐优秀应届本科毕业学生干部免试攻读硕士学位研究生遴选汇总表》、《北京信息科技大学推荐优秀应届本科毕业学生干部免试攻读研究生资格申请表》,成绩单及有关成果和奖励证明的复印件。以上材料均需提供纸质版和电子版，相关负责人签字并加盖学院公章，报学工部。</w:t>
      </w:r>
    </w:p>
    <w:p w14:paraId="7903F4D2">
      <w:pPr>
        <w:widowControl/>
        <w:spacing w:line="560" w:lineRule="exact"/>
        <w:ind w:firstLine="640" w:firstLineChars="200"/>
        <w:rPr>
          <w:rFonts w:ascii="仿宋" w:hAnsi="仿宋" w:eastAsia="仿宋" w:cs="宋体"/>
          <w:color w:val="333333"/>
          <w:kern w:val="0"/>
          <w:sz w:val="32"/>
          <w:szCs w:val="32"/>
        </w:rPr>
      </w:pPr>
      <w:r>
        <w:rPr>
          <w:rFonts w:hint="eastAsia" w:ascii="仿宋" w:hAnsi="仿宋" w:eastAsia="仿宋" w:cs="宋体"/>
          <w:color w:val="333333"/>
          <w:kern w:val="0"/>
          <w:sz w:val="32"/>
          <w:szCs w:val="32"/>
        </w:rPr>
        <w:t>（六）学校学生工作招聘领导小组对学院推荐人选进行资格复审，提出优秀应届本科毕业学生干部免试攻读研究生建议人选名单，报学校推免生遴选工作领导小组审定。</w:t>
      </w:r>
    </w:p>
    <w:p w14:paraId="21719AFF">
      <w:pPr>
        <w:widowControl/>
        <w:spacing w:line="560" w:lineRule="exact"/>
        <w:ind w:firstLine="640" w:firstLineChars="200"/>
        <w:rPr>
          <w:rFonts w:ascii="仿宋" w:hAnsi="仿宋" w:eastAsia="仿宋" w:cs="宋体"/>
          <w:color w:val="333333"/>
          <w:kern w:val="0"/>
          <w:sz w:val="32"/>
          <w:szCs w:val="32"/>
        </w:rPr>
      </w:pPr>
      <w:r>
        <w:rPr>
          <w:rFonts w:hint="eastAsia" w:ascii="仿宋" w:hAnsi="仿宋" w:eastAsia="仿宋" w:cs="宋体"/>
          <w:color w:val="333333"/>
          <w:kern w:val="0"/>
          <w:sz w:val="32"/>
          <w:szCs w:val="32"/>
        </w:rPr>
        <w:t>（七）校遴选领导小组审议确定优秀应届本科毕业学生干部免试攻读研究生学生名单，并在学生处网站和学校办公系统进行公示。</w:t>
      </w:r>
    </w:p>
    <w:p w14:paraId="72D3EF0E">
      <w:pPr>
        <w:widowControl/>
        <w:shd w:val="clear" w:color="auto" w:fill="FFFFFF"/>
        <w:spacing w:line="555" w:lineRule="atLeast"/>
        <w:jc w:val="center"/>
        <w:rPr>
          <w:rFonts w:ascii="黑体" w:hAnsi="黑体" w:eastAsia="黑体" w:cs="宋体"/>
          <w:color w:val="333333"/>
          <w:kern w:val="0"/>
          <w:sz w:val="32"/>
          <w:szCs w:val="32"/>
        </w:rPr>
      </w:pPr>
      <w:r>
        <w:rPr>
          <w:rFonts w:hint="eastAsia" w:ascii="黑体" w:hAnsi="黑体" w:eastAsia="黑体" w:cs="宋体"/>
          <w:color w:val="333333"/>
          <w:kern w:val="0"/>
          <w:sz w:val="32"/>
          <w:szCs w:val="32"/>
        </w:rPr>
        <w:t>第五章  遴选工作要求</w:t>
      </w:r>
    </w:p>
    <w:p w14:paraId="7BB7A440">
      <w:pPr>
        <w:widowControl/>
        <w:spacing w:line="560" w:lineRule="exact"/>
        <w:ind w:firstLine="640" w:firstLineChars="200"/>
        <w:rPr>
          <w:rFonts w:ascii="仿宋" w:hAnsi="仿宋" w:eastAsia="仿宋" w:cs="宋体"/>
          <w:color w:val="333333"/>
          <w:kern w:val="0"/>
          <w:sz w:val="32"/>
          <w:szCs w:val="32"/>
        </w:rPr>
      </w:pPr>
      <w:r>
        <w:rPr>
          <w:rFonts w:hint="eastAsia" w:ascii="仿宋" w:hAnsi="仿宋" w:eastAsia="仿宋" w:cs="宋体"/>
          <w:color w:val="333333"/>
          <w:kern w:val="0"/>
          <w:sz w:val="32"/>
          <w:szCs w:val="32"/>
        </w:rPr>
        <w:t>第九条</w:t>
      </w:r>
      <w:r>
        <w:rPr>
          <w:rFonts w:ascii="仿宋" w:hAnsi="仿宋" w:eastAsia="仿宋" w:cs="宋体"/>
          <w:color w:val="333333"/>
          <w:kern w:val="0"/>
          <w:sz w:val="32"/>
          <w:szCs w:val="32"/>
        </w:rPr>
        <w:t xml:space="preserve">  </w:t>
      </w:r>
      <w:r>
        <w:rPr>
          <w:rFonts w:hint="eastAsia" w:ascii="仿宋" w:hAnsi="仿宋" w:eastAsia="仿宋" w:cs="宋体"/>
          <w:color w:val="333333"/>
          <w:kern w:val="0"/>
          <w:sz w:val="32"/>
          <w:szCs w:val="32"/>
        </w:rPr>
        <w:t>遴选工作遵照国家有关规定，实行报备和回避制度。有直系亲属或利益相关者参加当年遴选的工作人员，应当主动报备并申请回避，不得参与当年的遴选工作。</w:t>
      </w:r>
    </w:p>
    <w:p w14:paraId="060D62C7">
      <w:pPr>
        <w:widowControl/>
        <w:spacing w:line="560" w:lineRule="exact"/>
        <w:ind w:firstLine="640" w:firstLineChars="200"/>
        <w:rPr>
          <w:rFonts w:ascii="仿宋" w:hAnsi="仿宋" w:eastAsia="仿宋" w:cs="宋体"/>
          <w:color w:val="333333"/>
          <w:kern w:val="0"/>
          <w:sz w:val="32"/>
          <w:szCs w:val="32"/>
        </w:rPr>
      </w:pPr>
      <w:r>
        <w:rPr>
          <w:rFonts w:hint="eastAsia" w:ascii="仿宋" w:hAnsi="仿宋" w:eastAsia="仿宋" w:cs="宋体"/>
          <w:color w:val="333333"/>
          <w:kern w:val="0"/>
          <w:sz w:val="32"/>
          <w:szCs w:val="32"/>
        </w:rPr>
        <w:t>第十条</w:t>
      </w:r>
      <w:r>
        <w:rPr>
          <w:rFonts w:ascii="仿宋" w:hAnsi="仿宋" w:eastAsia="仿宋" w:cs="宋体"/>
          <w:color w:val="333333"/>
          <w:kern w:val="0"/>
          <w:sz w:val="32"/>
          <w:szCs w:val="32"/>
        </w:rPr>
        <w:t xml:space="preserve">  </w:t>
      </w:r>
      <w:r>
        <w:rPr>
          <w:rFonts w:hint="eastAsia" w:ascii="仿宋" w:hAnsi="仿宋" w:eastAsia="仿宋" w:cs="宋体"/>
          <w:color w:val="333333"/>
          <w:kern w:val="0"/>
          <w:sz w:val="32"/>
          <w:szCs w:val="32"/>
        </w:rPr>
        <w:t>学院的遴选工作全程接受纪检与监察部门监督，确保推免工作公开、公平、公正地进行。</w:t>
      </w:r>
    </w:p>
    <w:p w14:paraId="2D438908">
      <w:pPr>
        <w:widowControl/>
        <w:spacing w:line="560" w:lineRule="exact"/>
        <w:ind w:firstLine="640" w:firstLineChars="200"/>
        <w:rPr>
          <w:rFonts w:ascii="仿宋" w:hAnsi="仿宋" w:eastAsia="仿宋" w:cs="宋体"/>
          <w:color w:val="333333"/>
          <w:kern w:val="0"/>
          <w:sz w:val="32"/>
          <w:szCs w:val="32"/>
        </w:rPr>
      </w:pPr>
      <w:r>
        <w:rPr>
          <w:rFonts w:hint="eastAsia" w:ascii="仿宋" w:hAnsi="仿宋" w:eastAsia="仿宋" w:cs="宋体"/>
          <w:color w:val="333333"/>
          <w:kern w:val="0"/>
          <w:sz w:val="32"/>
          <w:szCs w:val="32"/>
        </w:rPr>
        <w:t>第十一条</w:t>
      </w:r>
      <w:r>
        <w:rPr>
          <w:rFonts w:ascii="仿宋" w:hAnsi="仿宋" w:eastAsia="仿宋" w:cs="宋体"/>
          <w:color w:val="333333"/>
          <w:kern w:val="0"/>
          <w:sz w:val="32"/>
          <w:szCs w:val="32"/>
        </w:rPr>
        <w:t xml:space="preserve">  </w:t>
      </w:r>
      <w:r>
        <w:rPr>
          <w:rFonts w:hint="eastAsia" w:ascii="仿宋" w:hAnsi="仿宋" w:eastAsia="仿宋" w:cs="宋体"/>
          <w:color w:val="333333"/>
          <w:kern w:val="0"/>
          <w:sz w:val="32"/>
          <w:szCs w:val="32"/>
        </w:rPr>
        <w:t>对于已获推免资格的学生如在第四学年有下列情形之一的，取消其研究生预录取资格：</w:t>
      </w:r>
    </w:p>
    <w:p w14:paraId="1DB71051">
      <w:pPr>
        <w:widowControl/>
        <w:spacing w:line="560" w:lineRule="exact"/>
        <w:ind w:firstLine="640" w:firstLineChars="200"/>
        <w:rPr>
          <w:rFonts w:ascii="仿宋" w:hAnsi="仿宋" w:eastAsia="仿宋" w:cs="宋体"/>
          <w:color w:val="333333"/>
          <w:kern w:val="0"/>
          <w:sz w:val="32"/>
          <w:szCs w:val="32"/>
        </w:rPr>
      </w:pPr>
      <w:r>
        <w:rPr>
          <w:rFonts w:hint="eastAsia" w:ascii="仿宋" w:hAnsi="仿宋" w:eastAsia="仿宋" w:cs="宋体"/>
          <w:color w:val="333333"/>
          <w:kern w:val="0"/>
          <w:sz w:val="32"/>
          <w:szCs w:val="32"/>
        </w:rPr>
        <w:t>（一）必修课程考试及考核出现不及格的；</w:t>
      </w:r>
    </w:p>
    <w:p w14:paraId="776E4784">
      <w:pPr>
        <w:widowControl/>
        <w:spacing w:line="560" w:lineRule="exact"/>
        <w:ind w:firstLine="640" w:firstLineChars="200"/>
        <w:rPr>
          <w:rFonts w:ascii="仿宋" w:hAnsi="仿宋" w:eastAsia="仿宋" w:cs="宋体"/>
          <w:color w:val="333333"/>
          <w:kern w:val="0"/>
          <w:sz w:val="32"/>
          <w:szCs w:val="32"/>
        </w:rPr>
      </w:pPr>
      <w:r>
        <w:rPr>
          <w:rFonts w:hint="eastAsia" w:ascii="仿宋" w:hAnsi="仿宋" w:eastAsia="仿宋" w:cs="宋体"/>
          <w:color w:val="333333"/>
          <w:kern w:val="0"/>
          <w:sz w:val="32"/>
          <w:szCs w:val="32"/>
        </w:rPr>
        <w:t>（二）因违纪受到处分的；</w:t>
      </w:r>
    </w:p>
    <w:p w14:paraId="26C48632">
      <w:pPr>
        <w:widowControl/>
        <w:spacing w:line="560" w:lineRule="exact"/>
        <w:ind w:firstLine="640" w:firstLineChars="200"/>
        <w:rPr>
          <w:rFonts w:ascii="仿宋" w:hAnsi="仿宋" w:eastAsia="仿宋" w:cs="宋体"/>
          <w:color w:val="333333"/>
          <w:kern w:val="0"/>
          <w:sz w:val="32"/>
          <w:szCs w:val="32"/>
        </w:rPr>
      </w:pPr>
      <w:r>
        <w:rPr>
          <w:rFonts w:hint="eastAsia" w:ascii="仿宋" w:hAnsi="仿宋" w:eastAsia="仿宋" w:cs="宋体"/>
          <w:color w:val="333333"/>
          <w:kern w:val="0"/>
          <w:sz w:val="32"/>
          <w:szCs w:val="32"/>
        </w:rPr>
        <w:t>（三）毕业时未取得本科毕业证书或学士学位证书的。</w:t>
      </w:r>
    </w:p>
    <w:p w14:paraId="6D0F5A9E">
      <w:pPr>
        <w:widowControl/>
        <w:spacing w:line="560" w:lineRule="exact"/>
        <w:ind w:firstLine="640" w:firstLineChars="200"/>
        <w:rPr>
          <w:rFonts w:ascii="仿宋" w:hAnsi="仿宋" w:eastAsia="仿宋" w:cs="宋体"/>
          <w:color w:val="333333"/>
          <w:kern w:val="0"/>
          <w:sz w:val="32"/>
          <w:szCs w:val="32"/>
        </w:rPr>
      </w:pPr>
      <w:r>
        <w:rPr>
          <w:rFonts w:hint="eastAsia" w:ascii="仿宋" w:hAnsi="仿宋" w:eastAsia="仿宋" w:cs="宋体"/>
          <w:color w:val="333333"/>
          <w:kern w:val="0"/>
          <w:sz w:val="32"/>
          <w:szCs w:val="32"/>
        </w:rPr>
        <w:t>第十二条</w:t>
      </w:r>
      <w:r>
        <w:rPr>
          <w:rFonts w:ascii="仿宋" w:hAnsi="仿宋" w:eastAsia="仿宋" w:cs="宋体"/>
          <w:color w:val="333333"/>
          <w:kern w:val="0"/>
          <w:sz w:val="32"/>
          <w:szCs w:val="32"/>
        </w:rPr>
        <w:t xml:space="preserve">  </w:t>
      </w:r>
      <w:r>
        <w:rPr>
          <w:rFonts w:hint="eastAsia" w:ascii="仿宋" w:hAnsi="仿宋" w:eastAsia="仿宋" w:cs="宋体"/>
          <w:color w:val="333333"/>
          <w:kern w:val="0"/>
          <w:sz w:val="32"/>
          <w:szCs w:val="32"/>
        </w:rPr>
        <w:t>对于在推免过程中弄虚作假的，一经查实取消推免生资格，并给予纪律处分。</w:t>
      </w:r>
    </w:p>
    <w:p w14:paraId="322E0E49">
      <w:pPr>
        <w:widowControl/>
        <w:shd w:val="clear" w:color="auto" w:fill="FFFFFF"/>
        <w:spacing w:line="555" w:lineRule="atLeast"/>
        <w:rPr>
          <w:rFonts w:ascii="黑体" w:hAnsi="黑体" w:eastAsia="黑体" w:cs="宋体"/>
          <w:color w:val="333333"/>
          <w:kern w:val="0"/>
          <w:sz w:val="32"/>
          <w:szCs w:val="32"/>
        </w:rPr>
      </w:pPr>
      <w:r>
        <w:rPr>
          <w:rFonts w:hint="eastAsia" w:ascii="黑体" w:hAnsi="黑体" w:eastAsia="黑体" w:cs="宋体"/>
          <w:color w:val="333333"/>
          <w:kern w:val="0"/>
          <w:sz w:val="32"/>
          <w:szCs w:val="32"/>
        </w:rPr>
        <w:t>第六章  附则</w:t>
      </w:r>
    </w:p>
    <w:p w14:paraId="5955840B">
      <w:pPr>
        <w:widowControl/>
        <w:spacing w:line="560" w:lineRule="exact"/>
        <w:ind w:firstLine="640" w:firstLineChars="200"/>
        <w:rPr>
          <w:rFonts w:ascii="仿宋" w:hAnsi="仿宋" w:eastAsia="仿宋" w:cs="宋体"/>
          <w:color w:val="333333"/>
          <w:kern w:val="0"/>
          <w:sz w:val="32"/>
          <w:szCs w:val="32"/>
        </w:rPr>
      </w:pPr>
      <w:r>
        <w:rPr>
          <w:rFonts w:hint="eastAsia" w:ascii="仿宋" w:hAnsi="仿宋" w:eastAsia="仿宋" w:cs="宋体"/>
          <w:color w:val="333333"/>
          <w:kern w:val="0"/>
          <w:sz w:val="32"/>
          <w:szCs w:val="32"/>
        </w:rPr>
        <w:t>第十三条</w:t>
      </w:r>
      <w:r>
        <w:rPr>
          <w:rFonts w:ascii="仿宋" w:hAnsi="仿宋" w:eastAsia="仿宋" w:cs="宋体"/>
          <w:color w:val="333333"/>
          <w:kern w:val="0"/>
          <w:sz w:val="32"/>
          <w:szCs w:val="32"/>
        </w:rPr>
        <w:t xml:space="preserve">  </w:t>
      </w:r>
      <w:r>
        <w:rPr>
          <w:rFonts w:hint="eastAsia" w:ascii="仿宋" w:hAnsi="仿宋" w:eastAsia="仿宋" w:cs="宋体"/>
          <w:color w:val="333333"/>
          <w:kern w:val="0"/>
          <w:sz w:val="32"/>
          <w:szCs w:val="32"/>
        </w:rPr>
        <w:t>本办法仅适用于2022级学生。</w:t>
      </w:r>
    </w:p>
    <w:p w14:paraId="7B519814">
      <w:pPr>
        <w:widowControl/>
        <w:spacing w:line="560" w:lineRule="exact"/>
        <w:ind w:firstLine="640" w:firstLineChars="200"/>
        <w:rPr>
          <w:rFonts w:ascii="仿宋" w:hAnsi="仿宋" w:eastAsia="仿宋" w:cs="宋体"/>
          <w:color w:val="333333"/>
          <w:kern w:val="0"/>
          <w:sz w:val="32"/>
          <w:szCs w:val="32"/>
        </w:rPr>
      </w:pPr>
      <w:r>
        <w:rPr>
          <w:rFonts w:hint="eastAsia" w:ascii="仿宋" w:hAnsi="仿宋" w:eastAsia="仿宋" w:cs="宋体"/>
          <w:color w:val="333333"/>
          <w:kern w:val="0"/>
          <w:sz w:val="32"/>
          <w:szCs w:val="32"/>
        </w:rPr>
        <w:t>第十四条</w:t>
      </w:r>
      <w:r>
        <w:rPr>
          <w:rFonts w:ascii="仿宋" w:hAnsi="仿宋" w:eastAsia="仿宋" w:cs="宋体"/>
          <w:color w:val="333333"/>
          <w:kern w:val="0"/>
          <w:sz w:val="32"/>
          <w:szCs w:val="32"/>
        </w:rPr>
        <w:t xml:space="preserve">  </w:t>
      </w:r>
      <w:r>
        <w:rPr>
          <w:rFonts w:hint="eastAsia" w:ascii="仿宋" w:hAnsi="仿宋" w:eastAsia="仿宋" w:cs="宋体"/>
          <w:color w:val="333333"/>
          <w:kern w:val="0"/>
          <w:sz w:val="32"/>
          <w:szCs w:val="32"/>
        </w:rPr>
        <w:t>本办法由信息与通信工程学院学生工作办公室负责解释，未尽事宜由学院遴选工作小组讨论决定。</w:t>
      </w:r>
    </w:p>
    <w:p w14:paraId="50349766">
      <w:pPr>
        <w:widowControl/>
        <w:spacing w:line="560" w:lineRule="exact"/>
        <w:ind w:firstLine="600" w:firstLineChars="200"/>
        <w:rPr>
          <w:rFonts w:ascii="仿宋" w:hAnsi="仿宋" w:eastAsia="仿宋" w:cs="宋体"/>
          <w:color w:val="333333"/>
          <w:kern w:val="0"/>
          <w:sz w:val="30"/>
          <w:szCs w:val="30"/>
        </w:rPr>
      </w:pPr>
    </w:p>
    <w:p w14:paraId="72B0E068">
      <w:pPr>
        <w:widowControl/>
        <w:spacing w:line="560" w:lineRule="exact"/>
        <w:ind w:firstLine="600" w:firstLineChars="200"/>
        <w:rPr>
          <w:rFonts w:ascii="仿宋" w:hAnsi="仿宋" w:eastAsia="仿宋" w:cs="宋体"/>
          <w:color w:val="333333"/>
          <w:kern w:val="0"/>
          <w:sz w:val="30"/>
          <w:szCs w:val="30"/>
        </w:rPr>
      </w:pPr>
    </w:p>
    <w:p w14:paraId="738586A4">
      <w:pPr>
        <w:widowControl/>
        <w:spacing w:line="560" w:lineRule="exact"/>
        <w:ind w:firstLine="600" w:firstLineChars="200"/>
        <w:rPr>
          <w:rFonts w:hint="eastAsia" w:ascii="仿宋" w:hAnsi="仿宋" w:eastAsia="仿宋" w:cs="宋体"/>
          <w:color w:val="333333"/>
          <w:kern w:val="0"/>
          <w:sz w:val="30"/>
          <w:szCs w:val="30"/>
        </w:rPr>
      </w:pPr>
    </w:p>
    <w:p w14:paraId="789B6C04">
      <w:pPr>
        <w:autoSpaceDE w:val="0"/>
        <w:autoSpaceDN w:val="0"/>
        <w:adjustRightInd w:val="0"/>
        <w:snapToGrid w:val="0"/>
        <w:spacing w:before="312" w:beforeLines="100" w:line="440" w:lineRule="exact"/>
        <w:ind w:firstLine="5120" w:firstLineChars="1600"/>
        <w:rPr>
          <w:rFonts w:ascii="仿宋_GB2312" w:eastAsia="仿宋_GB2312"/>
          <w:sz w:val="32"/>
          <w:szCs w:val="36"/>
        </w:rPr>
      </w:pPr>
      <w:r>
        <w:rPr>
          <w:rFonts w:hint="eastAsia" w:ascii="仿宋_GB2312" w:eastAsia="仿宋_GB2312"/>
          <w:sz w:val="32"/>
          <w:szCs w:val="36"/>
        </w:rPr>
        <w:t>信息与通信工程学院</w:t>
      </w:r>
    </w:p>
    <w:p w14:paraId="4E59FC10">
      <w:pPr>
        <w:autoSpaceDE w:val="0"/>
        <w:autoSpaceDN w:val="0"/>
        <w:adjustRightInd w:val="0"/>
        <w:snapToGrid w:val="0"/>
        <w:spacing w:before="312" w:beforeLines="100" w:line="440" w:lineRule="exact"/>
        <w:rPr>
          <w:rFonts w:ascii="仿宋_GB2312" w:eastAsia="仿宋_GB2312"/>
          <w:sz w:val="32"/>
          <w:szCs w:val="36"/>
        </w:rPr>
      </w:pPr>
      <w:r>
        <w:rPr>
          <w:rFonts w:hint="eastAsia" w:ascii="仿宋_GB2312" w:eastAsia="仿宋_GB2312"/>
          <w:sz w:val="32"/>
          <w:szCs w:val="36"/>
        </w:rPr>
        <w:t xml:space="preserve">                           </w:t>
      </w:r>
      <w:r>
        <w:rPr>
          <w:rFonts w:ascii="仿宋_GB2312" w:eastAsia="仿宋_GB2312"/>
          <w:sz w:val="32"/>
          <w:szCs w:val="36"/>
        </w:rPr>
        <w:t xml:space="preserve">   </w:t>
      </w:r>
      <w:r>
        <w:rPr>
          <w:rFonts w:hint="eastAsia" w:ascii="仿宋_GB2312" w:eastAsia="仿宋_GB2312"/>
          <w:sz w:val="32"/>
          <w:szCs w:val="36"/>
        </w:rPr>
        <w:t xml:space="preserve">  二〇二五年九月二日</w:t>
      </w:r>
    </w:p>
    <w:p w14:paraId="2E69FB3B">
      <w:pPr>
        <w:spacing w:before="312" w:beforeLines="100" w:line="500" w:lineRule="exact"/>
        <w:ind w:firstLine="420" w:firstLineChars="200"/>
      </w:pPr>
    </w:p>
    <w:sectPr>
      <w:footerReference r:id="rId3" w:type="default"/>
      <w:footerReference r:id="rId4" w:type="even"/>
      <w:pgSz w:w="11907" w:h="16840"/>
      <w:pgMar w:top="1361" w:right="1418" w:bottom="1361" w:left="1418" w:header="567" w:footer="1304"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DAE5D7">
    <w:pPr>
      <w:pStyle w:val="8"/>
      <w:framePr w:wrap="around" w:vAnchor="text" w:hAnchor="margin" w:xAlign="center" w:y="1"/>
      <w:jc w:val="center"/>
      <w:rPr>
        <w:rStyle w:val="14"/>
      </w:rPr>
    </w:pPr>
    <w:r>
      <w:fldChar w:fldCharType="begin"/>
    </w:r>
    <w:r>
      <w:rPr>
        <w:rStyle w:val="14"/>
      </w:rPr>
      <w:instrText xml:space="preserve">PAGE  </w:instrText>
    </w:r>
    <w:r>
      <w:fldChar w:fldCharType="separate"/>
    </w:r>
    <w:r>
      <w:rPr>
        <w:rStyle w:val="14"/>
      </w:rPr>
      <w:t>3</w:t>
    </w:r>
    <w:r>
      <w:fldChar w:fldCharType="end"/>
    </w:r>
  </w:p>
  <w:p w14:paraId="68505B43">
    <w:pPr>
      <w:pStyle w:val="8"/>
      <w:framePr w:wrap="around" w:vAnchor="text" w:hAnchor="margin" w:xAlign="center" w:y="1"/>
      <w:rPr>
        <w:rStyle w:val="14"/>
      </w:rPr>
    </w:pPr>
  </w:p>
  <w:p w14:paraId="4C4E3042">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777E3D">
    <w:pPr>
      <w:pStyle w:val="8"/>
      <w:framePr w:wrap="around" w:vAnchor="text" w:hAnchor="margin" w:xAlign="center" w:y="1"/>
      <w:rPr>
        <w:rStyle w:val="14"/>
      </w:rPr>
    </w:pPr>
    <w:r>
      <w:fldChar w:fldCharType="begin"/>
    </w:r>
    <w:r>
      <w:rPr>
        <w:rStyle w:val="14"/>
      </w:rPr>
      <w:instrText xml:space="preserve">PAGE  </w:instrText>
    </w:r>
    <w:r>
      <w:fldChar w:fldCharType="end"/>
    </w:r>
  </w:p>
  <w:p w14:paraId="2E115E35">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4A0B1C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b/>
      <w:bCs/>
      <w:kern w:val="44"/>
      <w:sz w:val="48"/>
      <w:szCs w:val="48"/>
    </w:rPr>
  </w:style>
  <w:style w:type="character" w:default="1" w:styleId="13">
    <w:name w:val="Default Paragraph Font"/>
    <w:uiPriority w:val="1"/>
  </w:style>
  <w:style w:type="table" w:default="1" w:styleId="11">
    <w:name w:val="Normal Table"/>
    <w:uiPriority w:val="99"/>
    <w:tblPr>
      <w:tblCellMar>
        <w:top w:w="0" w:type="dxa"/>
        <w:left w:w="108" w:type="dxa"/>
        <w:bottom w:w="0" w:type="dxa"/>
        <w:right w:w="108" w:type="dxa"/>
      </w:tblCellMar>
    </w:tblPr>
  </w:style>
  <w:style w:type="paragraph" w:styleId="3">
    <w:name w:val="Normal Indent"/>
    <w:basedOn w:val="1"/>
    <w:qFormat/>
    <w:uiPriority w:val="0"/>
    <w:pPr>
      <w:ind w:firstLine="420" w:firstLineChars="200"/>
    </w:pPr>
  </w:style>
  <w:style w:type="paragraph" w:styleId="4">
    <w:name w:val="annotation text"/>
    <w:basedOn w:val="1"/>
    <w:qFormat/>
    <w:uiPriority w:val="0"/>
    <w:pPr>
      <w:jc w:val="left"/>
    </w:pPr>
  </w:style>
  <w:style w:type="paragraph" w:styleId="5">
    <w:name w:val="Body Text Indent"/>
    <w:basedOn w:val="1"/>
    <w:qFormat/>
    <w:uiPriority w:val="0"/>
    <w:pPr>
      <w:spacing w:line="460" w:lineRule="exact"/>
      <w:ind w:firstLine="640" w:firstLineChars="200"/>
    </w:pPr>
    <w:rPr>
      <w:rFonts w:ascii="仿宋_GB2312" w:eastAsia="仿宋_GB2312"/>
      <w:sz w:val="32"/>
      <w:szCs w:val="32"/>
    </w:rPr>
  </w:style>
  <w:style w:type="paragraph" w:styleId="6">
    <w:name w:val="Date"/>
    <w:basedOn w:val="1"/>
    <w:next w:val="1"/>
    <w:qFormat/>
    <w:uiPriority w:val="0"/>
    <w:pPr>
      <w:ind w:left="100" w:leftChars="2500"/>
    </w:pPr>
  </w:style>
  <w:style w:type="paragraph" w:styleId="7">
    <w:name w:val="Balloon Text"/>
    <w:basedOn w:val="1"/>
    <w:qFormat/>
    <w:uiPriority w:val="0"/>
    <w:rPr>
      <w:sz w:val="18"/>
      <w:szCs w:val="18"/>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basedOn w:val="13"/>
    <w:qFormat/>
    <w:uiPriority w:val="0"/>
  </w:style>
  <w:style w:type="character" w:styleId="15">
    <w:name w:val="annotation reference"/>
    <w:basedOn w:val="13"/>
    <w:qFormat/>
    <w:uiPriority w:val="0"/>
    <w:rPr>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 China</Company>
  <Pages>8</Pages>
  <Words>3817</Words>
  <Characters>3884</Characters>
  <Paragraphs>257</Paragraphs>
  <TotalTime>8</TotalTime>
  <ScaleCrop>false</ScaleCrop>
  <LinksUpToDate>false</LinksUpToDate>
  <CharactersWithSpaces>3961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2025-09-02T06:30:00Z</dcterms:created>
  <dc:creator>丁瑜婷</dc:creator>
  <cp:lastModifiedBy>粒粒安</cp:lastModifiedBy>
  <cp:lastPrinted>2025-09-02T04:06:00Z</cp:lastPrinted>
  <dcterms:modified xsi:type="dcterms:W3CDTF">2025-09-05T02:37:34Z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63C5BA1946284083AD90CF6B8F8D9E07_13</vt:lpwstr>
  </property>
  <property fmtid="{D5CDD505-2E9C-101B-9397-08002B2CF9AE}" pid="4" name="KSOTemplateDocerSaveRecord">
    <vt:lpwstr>eyJoZGlkIjoiNWRjMTBkYTUzN2JkZGQ0OWUyMDdkOGQzMmFlODA2NDkiLCJ1c2VySWQiOiIxMDY3NzEyMTQwIn0=</vt:lpwstr>
  </property>
</Properties>
</file>